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E72F" w14:textId="77777777" w:rsidR="001F48EE" w:rsidRPr="00F84C79" w:rsidRDefault="001F48EE" w:rsidP="001F48EE">
      <w:pPr>
        <w:jc w:val="center"/>
        <w:rPr>
          <w:b/>
          <w:bCs/>
          <w:sz w:val="28"/>
          <w:szCs w:val="28"/>
        </w:rPr>
      </w:pPr>
      <w:bookmarkStart w:id="0" w:name="_Toc157441928"/>
      <w:r w:rsidRPr="00F84C79">
        <w:rPr>
          <w:b/>
          <w:bCs/>
          <w:sz w:val="28"/>
          <w:szCs w:val="28"/>
        </w:rPr>
        <w:t>SERVICE AGREEMENTS WITH PARTICIPANTS POLICY AND PROCEDURE</w:t>
      </w:r>
      <w:bookmarkEnd w:id="0"/>
    </w:p>
    <w:p w14:paraId="1A58D5E9" w14:textId="77777777" w:rsidR="001F48EE" w:rsidRPr="00F84C79" w:rsidRDefault="001F48EE" w:rsidP="001F48EE"/>
    <w:p w14:paraId="5D130B55" w14:textId="77777777" w:rsidR="001F48EE" w:rsidRPr="00F84C79" w:rsidRDefault="001F48EE" w:rsidP="001F48EE">
      <w:pPr>
        <w:rPr>
          <w:b/>
          <w:bCs/>
          <w:sz w:val="28"/>
          <w:szCs w:val="28"/>
        </w:rPr>
      </w:pPr>
      <w:bookmarkStart w:id="1" w:name="_Toc157441929"/>
      <w:r w:rsidRPr="00F84C79">
        <w:rPr>
          <w:b/>
          <w:bCs/>
          <w:sz w:val="28"/>
          <w:szCs w:val="28"/>
        </w:rPr>
        <w:t>PURPOSE</w:t>
      </w:r>
      <w:bookmarkEnd w:id="1"/>
    </w:p>
    <w:p w14:paraId="3EA6A4DB" w14:textId="77777777" w:rsidR="001F48EE" w:rsidRPr="00F84C79" w:rsidRDefault="001F48EE" w:rsidP="001F48EE"/>
    <w:p w14:paraId="1A0F2B65" w14:textId="426C9FB9" w:rsidR="001F48EE" w:rsidRPr="00F84C79" w:rsidRDefault="001F48EE" w:rsidP="001F48EE">
      <w:r w:rsidRPr="00F84C79">
        <w:t xml:space="preserve">A Service Agreement is a formal agreement between a participant and </w:t>
      </w:r>
      <w:r w:rsidR="00937DFE">
        <w:t>AmeCare</w:t>
      </w:r>
      <w:r w:rsidRPr="00F84C79">
        <w:t xml:space="preserve">. </w:t>
      </w:r>
      <w:r w:rsidR="00BE2CE7" w:rsidRPr="00F84C79">
        <w:t>This agreement</w:t>
      </w:r>
      <w:r w:rsidRPr="00F84C79">
        <w:t xml:space="preserve"> help</w:t>
      </w:r>
      <w:r w:rsidR="00BE2CE7" w:rsidRPr="00F84C79">
        <w:t>s</w:t>
      </w:r>
      <w:r w:rsidRPr="00F84C79">
        <w:t xml:space="preserve"> to ensure there is a shared understanding of the following:</w:t>
      </w:r>
    </w:p>
    <w:p w14:paraId="53008041" w14:textId="77777777" w:rsidR="001F48EE" w:rsidRPr="00F84C79" w:rsidRDefault="001F48EE" w:rsidP="001F48EE">
      <w:pPr>
        <w:pStyle w:val="ListParagraph"/>
        <w:numPr>
          <w:ilvl w:val="0"/>
          <w:numId w:val="4"/>
        </w:numPr>
      </w:pPr>
      <w:r w:rsidRPr="00F84C79">
        <w:t>Expectations of what supports will be delivered and how they will be delivered; and</w:t>
      </w:r>
    </w:p>
    <w:p w14:paraId="55453127" w14:textId="7A6EE354" w:rsidR="001F48EE" w:rsidRPr="00F84C79" w:rsidRDefault="001F48EE" w:rsidP="001F48EE">
      <w:pPr>
        <w:pStyle w:val="ListParagraph"/>
        <w:numPr>
          <w:ilvl w:val="0"/>
          <w:numId w:val="4"/>
        </w:numPr>
      </w:pPr>
      <w:r w:rsidRPr="00F84C79">
        <w:t xml:space="preserve">The respective responsibilities and obligations of </w:t>
      </w:r>
      <w:r w:rsidR="00937DFE">
        <w:t>AmeCare</w:t>
      </w:r>
      <w:r w:rsidRPr="00F84C79">
        <w:t xml:space="preserve"> and the participant and how to resolve any problems that may arise.</w:t>
      </w:r>
    </w:p>
    <w:p w14:paraId="5A7B8274" w14:textId="77777777" w:rsidR="001F48EE" w:rsidRPr="00F84C79" w:rsidRDefault="001F48EE" w:rsidP="001F48EE"/>
    <w:p w14:paraId="4F487B73" w14:textId="18542091" w:rsidR="001F48EE" w:rsidRPr="00F84C79" w:rsidRDefault="001F48EE" w:rsidP="001F48EE">
      <w:r w:rsidRPr="00F84C79">
        <w:t xml:space="preserve">A </w:t>
      </w:r>
      <w:r w:rsidRPr="00F84C79">
        <w:rPr>
          <w:i/>
          <w:iCs/>
        </w:rPr>
        <w:t>Service Agreement</w:t>
      </w:r>
      <w:r w:rsidRPr="00F84C79">
        <w:t xml:space="preserve"> allows </w:t>
      </w:r>
      <w:r w:rsidR="00937DFE">
        <w:t>AmeCare</w:t>
      </w:r>
      <w:r w:rsidRPr="00F84C79">
        <w:t xml:space="preserve"> to mitigate business risks that we may experience in the course of doing business with an NDIS participant. </w:t>
      </w:r>
    </w:p>
    <w:p w14:paraId="2AB4C66B" w14:textId="77777777" w:rsidR="001F48EE" w:rsidRPr="00F84C79" w:rsidRDefault="001F48EE" w:rsidP="001F48EE"/>
    <w:p w14:paraId="742CAFF7" w14:textId="77777777" w:rsidR="001F48EE" w:rsidRPr="00F84C79" w:rsidRDefault="001F48EE" w:rsidP="001F48EE">
      <w:r w:rsidRPr="00F84C79">
        <w:t>The purpose of this policy is to set out how service agreements will be developed and what they will establish, and how participants will be supported to understand their service agreements and conditions.</w:t>
      </w:r>
    </w:p>
    <w:p w14:paraId="7167804D" w14:textId="77777777" w:rsidR="001F48EE" w:rsidRPr="00F84C79" w:rsidRDefault="001F48EE" w:rsidP="001F48EE"/>
    <w:p w14:paraId="2AB207A1" w14:textId="77777777" w:rsidR="001F48EE" w:rsidRPr="00F84C79" w:rsidRDefault="001F48EE" w:rsidP="001F48EE">
      <w:pPr>
        <w:rPr>
          <w:b/>
          <w:bCs/>
          <w:sz w:val="28"/>
          <w:szCs w:val="28"/>
        </w:rPr>
      </w:pPr>
      <w:bookmarkStart w:id="2" w:name="_Toc157441930"/>
      <w:r w:rsidRPr="00F84C79">
        <w:rPr>
          <w:b/>
          <w:bCs/>
          <w:sz w:val="28"/>
          <w:szCs w:val="28"/>
        </w:rPr>
        <w:t>SCOPE</w:t>
      </w:r>
      <w:bookmarkEnd w:id="2"/>
    </w:p>
    <w:p w14:paraId="0ADB767F" w14:textId="77777777" w:rsidR="001F48EE" w:rsidRPr="00F84C79" w:rsidRDefault="001F48EE" w:rsidP="001F48EE"/>
    <w:p w14:paraId="205D92CC" w14:textId="77777777" w:rsidR="001F48EE" w:rsidRPr="00F84C79" w:rsidRDefault="001F48EE" w:rsidP="001F48EE">
      <w:r w:rsidRPr="00F84C79">
        <w:t>This policy applies to:</w:t>
      </w:r>
    </w:p>
    <w:p w14:paraId="40D5597A" w14:textId="3FD1D493" w:rsidR="001F48EE" w:rsidRPr="00F84C79" w:rsidRDefault="001F48EE" w:rsidP="001F48EE">
      <w:pPr>
        <w:pStyle w:val="ListParagraph"/>
        <w:numPr>
          <w:ilvl w:val="0"/>
          <w:numId w:val="1"/>
        </w:numPr>
      </w:pPr>
      <w:r w:rsidRPr="00F84C79">
        <w:t xml:space="preserve">All </w:t>
      </w:r>
      <w:r w:rsidR="00937DFE">
        <w:t>AmeCare</w:t>
      </w:r>
      <w:r w:rsidRPr="00F84C79">
        <w:t xml:space="preserve"> staff, including permanent or casual employees, contractors, consultants, and people otherwise engaged by </w:t>
      </w:r>
      <w:r w:rsidR="00937DFE">
        <w:t>AmeCare</w:t>
      </w:r>
      <w:r w:rsidRPr="00F84C79">
        <w:t xml:space="preserve"> (e.g., volunteers).</w:t>
      </w:r>
    </w:p>
    <w:p w14:paraId="53D66E18" w14:textId="77777777" w:rsidR="001F48EE" w:rsidRPr="00F84C79" w:rsidRDefault="001F48EE" w:rsidP="001F48EE">
      <w:pPr>
        <w:pStyle w:val="ListParagraph"/>
        <w:numPr>
          <w:ilvl w:val="0"/>
          <w:numId w:val="1"/>
        </w:numPr>
      </w:pPr>
      <w:r w:rsidRPr="00F84C79">
        <w:t>All participants receiving NDIS services and support, including their families and support network.</w:t>
      </w:r>
    </w:p>
    <w:p w14:paraId="644A6137" w14:textId="77777777" w:rsidR="001F48EE" w:rsidRPr="00F84C79" w:rsidRDefault="001F48EE" w:rsidP="001F48EE"/>
    <w:p w14:paraId="1480544C" w14:textId="77777777" w:rsidR="001F48EE" w:rsidRPr="00F84C79" w:rsidRDefault="001F48EE" w:rsidP="001F48EE">
      <w:pPr>
        <w:rPr>
          <w:b/>
          <w:bCs/>
          <w:sz w:val="28"/>
          <w:szCs w:val="28"/>
        </w:rPr>
      </w:pPr>
      <w:bookmarkStart w:id="3" w:name="_Toc157441931"/>
      <w:r w:rsidRPr="00F84C79">
        <w:rPr>
          <w:b/>
          <w:bCs/>
          <w:sz w:val="28"/>
          <w:szCs w:val="28"/>
        </w:rPr>
        <w:t>DEFINITIONS</w:t>
      </w:r>
      <w:bookmarkEnd w:id="3"/>
    </w:p>
    <w:p w14:paraId="1A2EAEDE" w14:textId="77777777" w:rsidR="001F48EE" w:rsidRPr="00F84C79" w:rsidRDefault="001F48EE" w:rsidP="001F48EE"/>
    <w:tbl>
      <w:tblPr>
        <w:tblStyle w:val="TableGrid"/>
        <w:tblW w:w="5000" w:type="pct"/>
        <w:tblLook w:val="04A0" w:firstRow="1" w:lastRow="0" w:firstColumn="1" w:lastColumn="0" w:noHBand="0" w:noVBand="1"/>
      </w:tblPr>
      <w:tblGrid>
        <w:gridCol w:w="2972"/>
        <w:gridCol w:w="6044"/>
      </w:tblGrid>
      <w:tr w:rsidR="001F48EE" w:rsidRPr="00F84C79" w14:paraId="04142890" w14:textId="77777777" w:rsidTr="00301675">
        <w:trPr>
          <w:trHeight w:val="340"/>
        </w:trPr>
        <w:tc>
          <w:tcPr>
            <w:tcW w:w="1648" w:type="pct"/>
            <w:shd w:val="clear" w:color="auto" w:fill="E7E6E6" w:themeFill="background2"/>
          </w:tcPr>
          <w:p w14:paraId="0BF74A87" w14:textId="77777777" w:rsidR="001F48EE" w:rsidRPr="00F84C79" w:rsidRDefault="001F48EE" w:rsidP="009F6261">
            <w:pPr>
              <w:rPr>
                <w:b/>
                <w:bCs/>
              </w:rPr>
            </w:pPr>
            <w:r w:rsidRPr="00F84C79">
              <w:rPr>
                <w:b/>
                <w:bCs/>
              </w:rPr>
              <w:t>Term</w:t>
            </w:r>
          </w:p>
        </w:tc>
        <w:tc>
          <w:tcPr>
            <w:tcW w:w="3352" w:type="pct"/>
            <w:shd w:val="clear" w:color="auto" w:fill="E7E6E6" w:themeFill="background2"/>
          </w:tcPr>
          <w:p w14:paraId="28F2C249" w14:textId="77777777" w:rsidR="001F48EE" w:rsidRPr="00F84C79" w:rsidRDefault="001F48EE" w:rsidP="009F6261">
            <w:pPr>
              <w:rPr>
                <w:b/>
                <w:bCs/>
              </w:rPr>
            </w:pPr>
            <w:r w:rsidRPr="00F84C79">
              <w:rPr>
                <w:b/>
                <w:bCs/>
              </w:rPr>
              <w:t>Definition</w:t>
            </w:r>
          </w:p>
        </w:tc>
      </w:tr>
      <w:tr w:rsidR="00301675" w:rsidRPr="00F84C79" w14:paraId="2036362C" w14:textId="77777777" w:rsidTr="00301675">
        <w:trPr>
          <w:trHeight w:val="340"/>
        </w:trPr>
        <w:tc>
          <w:tcPr>
            <w:tcW w:w="1648" w:type="pct"/>
          </w:tcPr>
          <w:p w14:paraId="1464DF14" w14:textId="77777777" w:rsidR="00301675" w:rsidRPr="00F84C79" w:rsidRDefault="00301675" w:rsidP="009F6261">
            <w:pPr>
              <w:rPr>
                <w:b/>
                <w:bCs/>
              </w:rPr>
            </w:pPr>
            <w:r w:rsidRPr="00F84C79">
              <w:rPr>
                <w:b/>
                <w:bCs/>
              </w:rPr>
              <w:t>NDIS Pricing Arrangements and Price Limits</w:t>
            </w:r>
          </w:p>
        </w:tc>
        <w:tc>
          <w:tcPr>
            <w:tcW w:w="3352" w:type="pct"/>
          </w:tcPr>
          <w:p w14:paraId="7CCEAFAB" w14:textId="77777777" w:rsidR="00301675" w:rsidRPr="00F84C79" w:rsidRDefault="00301675" w:rsidP="00301675">
            <w:r w:rsidRPr="00F84C79">
              <w:t>The NDIS Pricing Arrangements and Price Limits (previously the NDIS Price Guide) assist participants and disability support providers in understanding how price controls for supports and services work in the NDIS.</w:t>
            </w:r>
          </w:p>
        </w:tc>
      </w:tr>
      <w:tr w:rsidR="001F48EE" w:rsidRPr="00F84C79" w14:paraId="6C5865D1" w14:textId="77777777" w:rsidTr="00301675">
        <w:trPr>
          <w:trHeight w:val="340"/>
        </w:trPr>
        <w:tc>
          <w:tcPr>
            <w:tcW w:w="1648" w:type="pct"/>
          </w:tcPr>
          <w:p w14:paraId="5AC903FC" w14:textId="77777777" w:rsidR="001F48EE" w:rsidRPr="00F84C79" w:rsidRDefault="001F48EE" w:rsidP="009F6261">
            <w:pPr>
              <w:rPr>
                <w:b/>
                <w:bCs/>
              </w:rPr>
            </w:pPr>
            <w:r w:rsidRPr="00F84C79">
              <w:rPr>
                <w:b/>
                <w:bCs/>
              </w:rPr>
              <w:t>Service Agreement</w:t>
            </w:r>
          </w:p>
        </w:tc>
        <w:tc>
          <w:tcPr>
            <w:tcW w:w="3352" w:type="pct"/>
          </w:tcPr>
          <w:p w14:paraId="6CAAB7C1" w14:textId="5485578A" w:rsidR="001F48EE" w:rsidRPr="00F84C79" w:rsidRDefault="001F48EE" w:rsidP="009F6261">
            <w:pPr>
              <w:rPr>
                <w:rFonts w:cstheme="minorHAnsi"/>
              </w:rPr>
            </w:pPr>
            <w:r w:rsidRPr="00F84C79">
              <w:t xml:space="preserve">A </w:t>
            </w:r>
            <w:r w:rsidRPr="00F84C79">
              <w:rPr>
                <w:i/>
                <w:iCs/>
              </w:rPr>
              <w:t>Service Agreement</w:t>
            </w:r>
            <w:r w:rsidRPr="00F84C79">
              <w:t xml:space="preserve"> is a written agreement between </w:t>
            </w:r>
            <w:r w:rsidR="00937DFE">
              <w:t>AmeCare</w:t>
            </w:r>
            <w:r w:rsidRPr="00F84C79">
              <w:t xml:space="preserve"> and the participant which defines their terms of engagement.</w:t>
            </w:r>
          </w:p>
        </w:tc>
      </w:tr>
    </w:tbl>
    <w:p w14:paraId="1646E2C3" w14:textId="77777777" w:rsidR="001F48EE" w:rsidRPr="00F84C79" w:rsidRDefault="001F48EE" w:rsidP="001F48EE"/>
    <w:p w14:paraId="3876129B" w14:textId="77777777" w:rsidR="001F48EE" w:rsidRPr="00F84C79" w:rsidRDefault="001F48EE" w:rsidP="001F48EE">
      <w:pPr>
        <w:rPr>
          <w:b/>
          <w:bCs/>
          <w:sz w:val="28"/>
          <w:szCs w:val="28"/>
        </w:rPr>
      </w:pPr>
      <w:bookmarkStart w:id="4" w:name="_Toc157441932"/>
      <w:r w:rsidRPr="00F84C79">
        <w:rPr>
          <w:b/>
          <w:bCs/>
          <w:sz w:val="28"/>
          <w:szCs w:val="28"/>
        </w:rPr>
        <w:t>POLICY</w:t>
      </w:r>
      <w:bookmarkEnd w:id="4"/>
    </w:p>
    <w:p w14:paraId="24B48DE4" w14:textId="77777777" w:rsidR="001F48EE" w:rsidRPr="00F84C79" w:rsidRDefault="001F48EE" w:rsidP="001F48EE"/>
    <w:p w14:paraId="3DB4258A" w14:textId="2AB4D555" w:rsidR="001F48EE" w:rsidRPr="00F84C79" w:rsidRDefault="00937DFE" w:rsidP="001F48EE">
      <w:r>
        <w:t>AmeCare</w:t>
      </w:r>
      <w:r w:rsidR="001F48EE" w:rsidRPr="00F84C79">
        <w:t xml:space="preserve"> is committed to ensuring each participant has a clear understanding of the supports they have chosen and how they will be provided.</w:t>
      </w:r>
    </w:p>
    <w:p w14:paraId="43110470" w14:textId="77777777" w:rsidR="001F48EE" w:rsidRPr="00F84C79" w:rsidRDefault="001F48EE" w:rsidP="001F48EE"/>
    <w:p w14:paraId="7EE40657" w14:textId="32956F4B" w:rsidR="001F48EE" w:rsidRPr="00F84C79" w:rsidRDefault="001F48EE" w:rsidP="001F48EE">
      <w:r w:rsidRPr="00F84C79">
        <w:t xml:space="preserve">To achieve this commitment, </w:t>
      </w:r>
      <w:r w:rsidR="00937DFE">
        <w:t>AmeCare</w:t>
      </w:r>
      <w:r w:rsidRPr="00F84C79">
        <w:t xml:space="preserve"> will ensure the following:</w:t>
      </w:r>
    </w:p>
    <w:p w14:paraId="0CD426A7" w14:textId="77777777" w:rsidR="001F48EE" w:rsidRPr="00F84C79" w:rsidRDefault="001F48EE" w:rsidP="001F48EE">
      <w:pPr>
        <w:pStyle w:val="ListParagraph"/>
        <w:numPr>
          <w:ilvl w:val="0"/>
          <w:numId w:val="1"/>
        </w:numPr>
      </w:pPr>
      <w:r w:rsidRPr="00F84C79">
        <w:t xml:space="preserve">Collaboration occurs with each participant to develop a </w:t>
      </w:r>
      <w:r w:rsidRPr="00F84C79">
        <w:rPr>
          <w:i/>
          <w:iCs/>
        </w:rPr>
        <w:t>Service Agreement,</w:t>
      </w:r>
      <w:r w:rsidRPr="00F84C79">
        <w:t xml:space="preserve"> which establishes expectations, explains the supports to be delivered, and specifies any </w:t>
      </w:r>
      <w:r w:rsidRPr="00F84C79">
        <w:lastRenderedPageBreak/>
        <w:t>conditions attached to the delivery of supports, including why these conditions are attached.</w:t>
      </w:r>
    </w:p>
    <w:p w14:paraId="41DB8FA3" w14:textId="77777777" w:rsidR="001F48EE" w:rsidRPr="00F84C79" w:rsidRDefault="001F48EE" w:rsidP="001F48EE">
      <w:pPr>
        <w:pStyle w:val="ListParagraph"/>
        <w:numPr>
          <w:ilvl w:val="0"/>
          <w:numId w:val="3"/>
        </w:numPr>
      </w:pPr>
      <w:r w:rsidRPr="00F84C79">
        <w:t xml:space="preserve">Each participant is supported in understanding their </w:t>
      </w:r>
      <w:r w:rsidRPr="00F84C79">
        <w:rPr>
          <w:i/>
          <w:iCs/>
        </w:rPr>
        <w:t>Service Agreement</w:t>
      </w:r>
      <w:r w:rsidRPr="00F84C79">
        <w:t xml:space="preserve"> and conditions using the language, mode of communication, and terms that the participant is most likely to understand.</w:t>
      </w:r>
    </w:p>
    <w:p w14:paraId="1F22382F" w14:textId="620B9974" w:rsidR="001F48EE" w:rsidRPr="00F84C79" w:rsidRDefault="001F48EE" w:rsidP="001F48EE">
      <w:pPr>
        <w:pStyle w:val="ListParagraph"/>
        <w:numPr>
          <w:ilvl w:val="0"/>
          <w:numId w:val="3"/>
        </w:numPr>
      </w:pPr>
      <w:r w:rsidRPr="00F84C79">
        <w:t xml:space="preserve">Where the </w:t>
      </w:r>
      <w:r w:rsidRPr="00F84C79">
        <w:rPr>
          <w:i/>
          <w:iCs/>
        </w:rPr>
        <w:t>Service Agreement</w:t>
      </w:r>
      <w:r w:rsidRPr="00F84C79">
        <w:t xml:space="preserve"> is created in writing, each participant receives a copy of the agreement signed by the participant and </w:t>
      </w:r>
      <w:r w:rsidR="00937DFE">
        <w:t>AmeCare</w:t>
      </w:r>
      <w:r w:rsidRPr="00F84C79">
        <w:t>. Where this is not practicable, or the participant chooses not to have an agreement, a record is made of the circumstances under which the participant did not receive a copy of their agreement.</w:t>
      </w:r>
    </w:p>
    <w:p w14:paraId="7ED21FFD" w14:textId="77777777" w:rsidR="001F48EE" w:rsidRPr="00F84C79" w:rsidRDefault="001F48EE" w:rsidP="001F48EE">
      <w:pPr>
        <w:pStyle w:val="ListParagraph"/>
        <w:numPr>
          <w:ilvl w:val="0"/>
          <w:numId w:val="3"/>
        </w:numPr>
      </w:pPr>
      <w:r w:rsidRPr="00F84C79">
        <w:t>Where the provider delivers Supported Independent Living (SIL) supports to participants in specialist disability accommodation dwellings, documented arrangements are in place with each participant and each specialist disability accommodation provider. At a minimum, the arrangements should outline the party or parties responsible and their roles (where applicable) for the following matters:</w:t>
      </w:r>
    </w:p>
    <w:p w14:paraId="5E222099" w14:textId="77777777" w:rsidR="001F48EE" w:rsidRPr="00F84C79" w:rsidRDefault="001F48EE" w:rsidP="001F48EE">
      <w:pPr>
        <w:pStyle w:val="ListParagraph"/>
        <w:numPr>
          <w:ilvl w:val="1"/>
          <w:numId w:val="3"/>
        </w:numPr>
      </w:pPr>
      <w:r w:rsidRPr="00F84C79">
        <w:t>How a participant’s concerns about the dwelling will be communicated and addressed;</w:t>
      </w:r>
    </w:p>
    <w:p w14:paraId="5E4978CE" w14:textId="77777777" w:rsidR="001F48EE" w:rsidRPr="00F84C79" w:rsidRDefault="001F48EE" w:rsidP="001F48EE">
      <w:pPr>
        <w:pStyle w:val="ListParagraph"/>
        <w:numPr>
          <w:ilvl w:val="1"/>
          <w:numId w:val="3"/>
        </w:numPr>
      </w:pPr>
      <w:r w:rsidRPr="00F84C79">
        <w:t>How potential conflicts involving participant(s) will be managed;</w:t>
      </w:r>
    </w:p>
    <w:p w14:paraId="43AC4DE7" w14:textId="77777777" w:rsidR="001F48EE" w:rsidRPr="00F84C79" w:rsidRDefault="001F48EE" w:rsidP="001F48EE">
      <w:pPr>
        <w:pStyle w:val="ListParagraph"/>
        <w:numPr>
          <w:ilvl w:val="1"/>
          <w:numId w:val="3"/>
        </w:numPr>
      </w:pPr>
      <w:r w:rsidRPr="00F84C79">
        <w:t>How changes to participant circumstances and/or support needs will be agreed upon and communicated;</w:t>
      </w:r>
    </w:p>
    <w:p w14:paraId="4435734E" w14:textId="77777777" w:rsidR="001F48EE" w:rsidRPr="00F84C79" w:rsidRDefault="001F48EE" w:rsidP="001F48EE">
      <w:pPr>
        <w:pStyle w:val="ListParagraph"/>
        <w:numPr>
          <w:ilvl w:val="1"/>
          <w:numId w:val="3"/>
        </w:numPr>
      </w:pPr>
      <w:r w:rsidRPr="00F84C79">
        <w:t>In shared living, how vacancies will be filled, including each participant’s right to have their needs, preferences and situation taken into consideration; and</w:t>
      </w:r>
    </w:p>
    <w:p w14:paraId="51954FC0" w14:textId="77777777" w:rsidR="001F48EE" w:rsidRPr="00F84C79" w:rsidRDefault="001F48EE" w:rsidP="001F48EE">
      <w:pPr>
        <w:pStyle w:val="ListParagraph"/>
        <w:numPr>
          <w:ilvl w:val="1"/>
          <w:numId w:val="3"/>
        </w:numPr>
      </w:pPr>
      <w:r w:rsidRPr="00F84C79">
        <w:t>How behaviours of concern that may put tenancies at risk will be managed if this is a relevant issue for the participant.</w:t>
      </w:r>
    </w:p>
    <w:p w14:paraId="68215F79" w14:textId="77777777" w:rsidR="001F48EE" w:rsidRDefault="001F48EE" w:rsidP="001F48EE">
      <w:pPr>
        <w:pStyle w:val="ListParagraph"/>
        <w:numPr>
          <w:ilvl w:val="0"/>
          <w:numId w:val="3"/>
        </w:numPr>
      </w:pPr>
      <w:r w:rsidRPr="00F84C79">
        <w:t>Service agreements set out the arrangements for providing supports to be put in place in the event of an emergency or disaster.</w:t>
      </w:r>
    </w:p>
    <w:p w14:paraId="0490C98D" w14:textId="77777777" w:rsidR="00FA00B3" w:rsidRDefault="00FA00B3" w:rsidP="00FA00B3"/>
    <w:p w14:paraId="675B1838" w14:textId="77777777" w:rsidR="00FA00B3" w:rsidRPr="00FA00B3" w:rsidRDefault="00FA00B3" w:rsidP="00FA00B3">
      <w:pPr>
        <w:rPr>
          <w:rFonts w:cstheme="minorHAnsi"/>
          <w:b/>
          <w:bCs/>
        </w:rPr>
      </w:pPr>
      <w:r w:rsidRPr="00FA00B3">
        <w:rPr>
          <w:rFonts w:cstheme="minorHAnsi"/>
          <w:b/>
          <w:bCs/>
        </w:rPr>
        <w:t>Conflict of Interest (COI) Management in Service Agreements</w:t>
      </w:r>
    </w:p>
    <w:p w14:paraId="219AD2C1" w14:textId="77777777" w:rsidR="00FA00B3" w:rsidRPr="00FA00B3" w:rsidRDefault="00FA00B3" w:rsidP="00FA00B3">
      <w:pPr>
        <w:rPr>
          <w:rFonts w:cstheme="minorHAnsi"/>
        </w:rPr>
      </w:pPr>
    </w:p>
    <w:p w14:paraId="2CBCFAFB" w14:textId="12BAC16B" w:rsidR="00FA00B3" w:rsidRPr="00FA00B3" w:rsidRDefault="00FA00B3" w:rsidP="00FA00B3">
      <w:pPr>
        <w:rPr>
          <w:rFonts w:cstheme="minorHAnsi"/>
        </w:rPr>
      </w:pPr>
      <w:r w:rsidRPr="00FA00B3">
        <w:rPr>
          <w:rFonts w:cstheme="minorHAnsi"/>
        </w:rPr>
        <w:t>AmeCare is committed to ensuring that all service agreements are developed and delivered in a manner that upholds participant choice, control, and transparency. To manage potential or actual conflicts of interest, AmeCare will:</w:t>
      </w:r>
    </w:p>
    <w:p w14:paraId="09128261" w14:textId="77777777" w:rsidR="00FA00B3" w:rsidRPr="00FA00B3" w:rsidRDefault="00FA00B3" w:rsidP="00FA00B3">
      <w:pPr>
        <w:rPr>
          <w:rFonts w:cstheme="minorHAnsi"/>
        </w:rPr>
      </w:pPr>
    </w:p>
    <w:p w14:paraId="68F53278" w14:textId="77777777" w:rsidR="00FA00B3" w:rsidRPr="00FA00B3" w:rsidRDefault="00FA00B3" w:rsidP="00FA00B3">
      <w:pPr>
        <w:numPr>
          <w:ilvl w:val="0"/>
          <w:numId w:val="11"/>
        </w:numPr>
        <w:rPr>
          <w:rFonts w:cstheme="minorHAnsi"/>
        </w:rPr>
      </w:pPr>
      <w:r w:rsidRPr="00FA00B3">
        <w:rPr>
          <w:rFonts w:cstheme="minorHAnsi"/>
        </w:rPr>
        <w:t>Identify and declare any potential or actual conflicts of interest that may arise during the development or delivery of service agreements.</w:t>
      </w:r>
    </w:p>
    <w:p w14:paraId="219E03C8" w14:textId="77777777" w:rsidR="00FA00B3" w:rsidRPr="00FA00B3" w:rsidRDefault="00FA00B3" w:rsidP="00FA00B3">
      <w:pPr>
        <w:numPr>
          <w:ilvl w:val="0"/>
          <w:numId w:val="11"/>
        </w:numPr>
        <w:rPr>
          <w:rFonts w:cstheme="minorHAnsi"/>
        </w:rPr>
      </w:pPr>
      <w:r w:rsidRPr="00FA00B3">
        <w:rPr>
          <w:rFonts w:cstheme="minorHAnsi"/>
        </w:rPr>
        <w:t>Where a conflict of interest is identified, take steps to separate service delivery functions or roles as appropriate, to ensure that participant interests are protected and not compromised.</w:t>
      </w:r>
    </w:p>
    <w:p w14:paraId="4603CF7F" w14:textId="77777777" w:rsidR="00FA00B3" w:rsidRPr="00FA00B3" w:rsidRDefault="00FA00B3" w:rsidP="00FA00B3">
      <w:pPr>
        <w:numPr>
          <w:ilvl w:val="0"/>
          <w:numId w:val="11"/>
        </w:numPr>
        <w:rPr>
          <w:rFonts w:cstheme="minorHAnsi"/>
        </w:rPr>
      </w:pPr>
      <w:r w:rsidRPr="00FA00B3">
        <w:rPr>
          <w:rFonts w:cstheme="minorHAnsi"/>
        </w:rPr>
        <w:t>Ensure that staff involved in developing or delivering service agreements do not participate in decisions or referrals where a conflict of interest exists.</w:t>
      </w:r>
    </w:p>
    <w:p w14:paraId="1B3C0BB0" w14:textId="77777777" w:rsidR="00FA00B3" w:rsidRPr="00FA00B3" w:rsidRDefault="00FA00B3" w:rsidP="00FA00B3">
      <w:pPr>
        <w:numPr>
          <w:ilvl w:val="0"/>
          <w:numId w:val="11"/>
        </w:numPr>
        <w:rPr>
          <w:rFonts w:cstheme="minorHAnsi"/>
        </w:rPr>
      </w:pPr>
      <w:r w:rsidRPr="00FA00B3">
        <w:rPr>
          <w:rFonts w:cstheme="minorHAnsi"/>
        </w:rPr>
        <w:t>Provide clear information to participants about any identified conflicts of interest and the steps taken to manage them.</w:t>
      </w:r>
    </w:p>
    <w:p w14:paraId="69991C87" w14:textId="77777777" w:rsidR="00FA00B3" w:rsidRPr="00FA00B3" w:rsidRDefault="00FA00B3" w:rsidP="00FA00B3">
      <w:pPr>
        <w:numPr>
          <w:ilvl w:val="0"/>
          <w:numId w:val="11"/>
        </w:numPr>
        <w:rPr>
          <w:rFonts w:cstheme="minorHAnsi"/>
        </w:rPr>
      </w:pPr>
      <w:r w:rsidRPr="00FA00B3">
        <w:rPr>
          <w:rFonts w:cstheme="minorHAnsi"/>
        </w:rPr>
        <w:t>Maintain records of identified conflicts of interest and actions taken to address them.</w:t>
      </w:r>
    </w:p>
    <w:p w14:paraId="31E84CB9" w14:textId="77777777" w:rsidR="00FA00B3" w:rsidRPr="00FA00B3" w:rsidRDefault="00FA00B3" w:rsidP="00FA00B3">
      <w:pPr>
        <w:numPr>
          <w:ilvl w:val="0"/>
          <w:numId w:val="11"/>
        </w:numPr>
        <w:rPr>
          <w:rFonts w:cstheme="minorHAnsi"/>
        </w:rPr>
      </w:pPr>
      <w:r w:rsidRPr="00FA00B3">
        <w:rPr>
          <w:rFonts w:cstheme="minorHAnsi"/>
        </w:rPr>
        <w:t>Review and update COI management procedures regularly to ensure ongoing compliance with NDIS Practice Standards and sector best practice.</w:t>
      </w:r>
    </w:p>
    <w:p w14:paraId="144648DD" w14:textId="77777777" w:rsidR="00FA00B3" w:rsidRDefault="00FA00B3" w:rsidP="00FA00B3"/>
    <w:p w14:paraId="3BCEFDEE" w14:textId="77777777" w:rsidR="00FA00B3" w:rsidRPr="00FA00B3" w:rsidRDefault="00FA00B3" w:rsidP="00FA00B3">
      <w:pPr>
        <w:rPr>
          <w:b/>
          <w:bCs/>
        </w:rPr>
      </w:pPr>
      <w:r w:rsidRPr="00FA00B3">
        <w:rPr>
          <w:b/>
          <w:bCs/>
        </w:rPr>
        <w:lastRenderedPageBreak/>
        <w:t>Additional Requirements for Assistance with Daily Living and Sole Workers</w:t>
      </w:r>
    </w:p>
    <w:p w14:paraId="224020CA" w14:textId="77777777" w:rsidR="00746CCE" w:rsidRDefault="00746CCE" w:rsidP="00FA00B3"/>
    <w:p w14:paraId="0EF06CEE" w14:textId="733A64F6" w:rsidR="00FA00B3" w:rsidRDefault="00FA00B3" w:rsidP="00FA00B3">
      <w:r w:rsidRPr="00FA00B3">
        <w:t>For participants receiving supports under “Assistance with Daily Living,” and in situations where a sole worker is engaged, AmeCare will ensure that:</w:t>
      </w:r>
    </w:p>
    <w:p w14:paraId="77287ADE" w14:textId="77777777" w:rsidR="00746CCE" w:rsidRPr="00FA00B3" w:rsidRDefault="00746CCE" w:rsidP="00FA00B3"/>
    <w:p w14:paraId="388F954B" w14:textId="77777777" w:rsidR="00FA00B3" w:rsidRPr="00FA00B3" w:rsidRDefault="00FA00B3" w:rsidP="00FA00B3">
      <w:pPr>
        <w:numPr>
          <w:ilvl w:val="0"/>
          <w:numId w:val="12"/>
        </w:numPr>
      </w:pPr>
      <w:r w:rsidRPr="00FA00B3">
        <w:t>The Service Agreement clearly documents the nature of the support to be provided, including specific tasks, goals, and expected outcomes.</w:t>
      </w:r>
    </w:p>
    <w:p w14:paraId="775F25E0" w14:textId="77777777" w:rsidR="00FA00B3" w:rsidRPr="00FA00B3" w:rsidRDefault="00FA00B3" w:rsidP="00FA00B3">
      <w:pPr>
        <w:numPr>
          <w:ilvl w:val="0"/>
          <w:numId w:val="12"/>
        </w:numPr>
      </w:pPr>
      <w:r w:rsidRPr="00FA00B3">
        <w:t>The frequency and duration of engagement with the participant are specified in the Service Agreement.</w:t>
      </w:r>
    </w:p>
    <w:p w14:paraId="4C7E6284" w14:textId="77777777" w:rsidR="00746CCE" w:rsidRDefault="00746CCE" w:rsidP="00746CCE"/>
    <w:p w14:paraId="183CF518" w14:textId="66FE7FEC" w:rsidR="00FA00B3" w:rsidRPr="00FA00B3" w:rsidRDefault="00FA00B3" w:rsidP="00746CCE">
      <w:r w:rsidRPr="00FA00B3">
        <w:t>Where a sole worker is engaged, the Service Agreement will outline the arrangements for supervision, including:</w:t>
      </w:r>
    </w:p>
    <w:p w14:paraId="759350CA" w14:textId="77777777" w:rsidR="00FA00B3" w:rsidRPr="00FA00B3" w:rsidRDefault="00FA00B3" w:rsidP="00FA00B3">
      <w:pPr>
        <w:numPr>
          <w:ilvl w:val="1"/>
          <w:numId w:val="12"/>
        </w:numPr>
      </w:pPr>
      <w:r w:rsidRPr="00FA00B3">
        <w:t>The frequency and method of supervision (e.g., in-person, phone, or video check-ins).</w:t>
      </w:r>
    </w:p>
    <w:p w14:paraId="2F8F42A1" w14:textId="77777777" w:rsidR="00FA00B3" w:rsidRPr="00FA00B3" w:rsidRDefault="00FA00B3" w:rsidP="00FA00B3">
      <w:pPr>
        <w:numPr>
          <w:ilvl w:val="1"/>
          <w:numId w:val="12"/>
        </w:numPr>
      </w:pPr>
      <w:r w:rsidRPr="00FA00B3">
        <w:t>The name and contact details of the supervising staff member.</w:t>
      </w:r>
    </w:p>
    <w:p w14:paraId="25FBEE09" w14:textId="77777777" w:rsidR="00FA00B3" w:rsidRPr="00FA00B3" w:rsidRDefault="00FA00B3" w:rsidP="00FA00B3">
      <w:pPr>
        <w:numPr>
          <w:ilvl w:val="1"/>
          <w:numId w:val="12"/>
        </w:numPr>
      </w:pPr>
      <w:r w:rsidRPr="00FA00B3">
        <w:t>Procedures for escalation and support if issues arise.</w:t>
      </w:r>
    </w:p>
    <w:p w14:paraId="49BD09B4" w14:textId="77777777" w:rsidR="00746CCE" w:rsidRDefault="00746CCE" w:rsidP="00746CCE"/>
    <w:p w14:paraId="4CE7970D" w14:textId="27963D5E" w:rsidR="00FA00B3" w:rsidRPr="00FA00B3" w:rsidRDefault="00FA00B3" w:rsidP="00746CCE">
      <w:r w:rsidRPr="00FA00B3">
        <w:t>All arrangements will be reviewed regularly and updated in the Service Agreement as participant needs or staffing arrangements change.</w:t>
      </w:r>
    </w:p>
    <w:p w14:paraId="188AE832" w14:textId="77777777" w:rsidR="00FA00B3" w:rsidRPr="00F84C79" w:rsidRDefault="00FA00B3" w:rsidP="00FA00B3"/>
    <w:p w14:paraId="6358A648" w14:textId="77777777" w:rsidR="001F48EE" w:rsidRPr="00F84C79" w:rsidRDefault="001F48EE" w:rsidP="001F48EE">
      <w:pPr>
        <w:rPr>
          <w:color w:val="000000" w:themeColor="text1"/>
        </w:rPr>
      </w:pPr>
    </w:p>
    <w:p w14:paraId="5AF005A0" w14:textId="77777777" w:rsidR="001F48EE" w:rsidRPr="00F84C79" w:rsidRDefault="001F48EE" w:rsidP="001F48EE">
      <w:pPr>
        <w:rPr>
          <w:b/>
          <w:bCs/>
          <w:color w:val="000000" w:themeColor="text1"/>
          <w:sz w:val="28"/>
          <w:szCs w:val="28"/>
        </w:rPr>
      </w:pPr>
      <w:bookmarkStart w:id="5" w:name="_Toc157441933"/>
      <w:r w:rsidRPr="00F84C79">
        <w:rPr>
          <w:b/>
          <w:bCs/>
          <w:color w:val="000000" w:themeColor="text1"/>
          <w:sz w:val="28"/>
          <w:szCs w:val="28"/>
        </w:rPr>
        <w:t>PROCEDURE</w:t>
      </w:r>
      <w:bookmarkEnd w:id="5"/>
    </w:p>
    <w:p w14:paraId="4514B36D" w14:textId="77777777" w:rsidR="001F48EE" w:rsidRPr="00F84C79" w:rsidRDefault="001F48EE" w:rsidP="001F48EE"/>
    <w:p w14:paraId="46343071" w14:textId="28C887C4" w:rsidR="001F48EE" w:rsidRPr="00F84C79" w:rsidRDefault="001F48EE" w:rsidP="001F48EE">
      <w:pPr>
        <w:rPr>
          <w:color w:val="000000" w:themeColor="text1"/>
        </w:rPr>
      </w:pPr>
      <w:r w:rsidRPr="00F84C79">
        <w:rPr>
          <w:color w:val="000000" w:themeColor="text1"/>
        </w:rPr>
        <w:t xml:space="preserve">The following procedures are implemented to ensure that </w:t>
      </w:r>
      <w:r w:rsidR="00937DFE">
        <w:t>AmeCare</w:t>
      </w:r>
      <w:r w:rsidRPr="00F84C79">
        <w:t xml:space="preserve"> </w:t>
      </w:r>
      <w:r w:rsidRPr="00F84C79">
        <w:rPr>
          <w:color w:val="000000" w:themeColor="text1"/>
        </w:rPr>
        <w:t xml:space="preserve">meets its policy objective of ensuring all supports chosen by the participants are included in their </w:t>
      </w:r>
      <w:r w:rsidRPr="00F84C79">
        <w:rPr>
          <w:i/>
          <w:iCs/>
          <w:color w:val="000000" w:themeColor="text1"/>
        </w:rPr>
        <w:t>Service Agreement</w:t>
      </w:r>
      <w:r w:rsidRPr="00F84C79">
        <w:rPr>
          <w:color w:val="000000" w:themeColor="text1"/>
        </w:rPr>
        <w:t xml:space="preserve"> to allow a clear understanding of how they will be provided.</w:t>
      </w:r>
    </w:p>
    <w:p w14:paraId="5B3342B4" w14:textId="77777777" w:rsidR="001F48EE" w:rsidRPr="00F84C79" w:rsidRDefault="001F48EE" w:rsidP="001F48EE"/>
    <w:p w14:paraId="5892E38F" w14:textId="0385DEE3" w:rsidR="001F48EE" w:rsidRPr="00F84C79" w:rsidRDefault="00937DFE" w:rsidP="001F48EE">
      <w:r>
        <w:t>AmeCare</w:t>
      </w:r>
      <w:r w:rsidR="001F48EE" w:rsidRPr="00F84C79">
        <w:t xml:space="preserve"> staff will work collaboratively with participants and their families/support network to develop their </w:t>
      </w:r>
      <w:r w:rsidR="001F48EE" w:rsidRPr="00F84C79">
        <w:rPr>
          <w:i/>
          <w:iCs/>
        </w:rPr>
        <w:t>Service Agreement</w:t>
      </w:r>
      <w:r w:rsidR="001F48EE" w:rsidRPr="00F84C79">
        <w:t>.</w:t>
      </w:r>
    </w:p>
    <w:p w14:paraId="1630BB92" w14:textId="77777777" w:rsidR="001F48EE" w:rsidRPr="00F84C79" w:rsidRDefault="001F48EE" w:rsidP="001F48EE"/>
    <w:p w14:paraId="6698829D" w14:textId="77777777" w:rsidR="001F48EE" w:rsidRPr="00F84C79" w:rsidRDefault="001F48EE" w:rsidP="001F48EE">
      <w:r w:rsidRPr="00F84C79">
        <w:t>Service Agreements will be simple and set out how and when supports will be delivered. They will include information such as:</w:t>
      </w:r>
    </w:p>
    <w:p w14:paraId="03D7B22E" w14:textId="229D1786" w:rsidR="001F48EE" w:rsidRPr="00F84C79" w:rsidRDefault="001F48EE" w:rsidP="001F48EE">
      <w:pPr>
        <w:pStyle w:val="ListParagraph"/>
        <w:numPr>
          <w:ilvl w:val="1"/>
          <w:numId w:val="5"/>
        </w:numPr>
      </w:pPr>
      <w:r w:rsidRPr="00F84C79">
        <w:t xml:space="preserve">What supports and services </w:t>
      </w:r>
      <w:r w:rsidR="00937DFE">
        <w:t>AmeCare</w:t>
      </w:r>
      <w:r w:rsidRPr="00F84C79">
        <w:t xml:space="preserve"> has agreed to provide;</w:t>
      </w:r>
    </w:p>
    <w:p w14:paraId="04DB4CD5" w14:textId="77777777" w:rsidR="001F48EE" w:rsidRPr="00F84C79" w:rsidRDefault="001F48EE" w:rsidP="001F48EE">
      <w:pPr>
        <w:pStyle w:val="ListParagraph"/>
        <w:numPr>
          <w:ilvl w:val="1"/>
          <w:numId w:val="5"/>
        </w:numPr>
      </w:pPr>
      <w:r w:rsidRPr="00F84C79">
        <w:t>The prices of those supports and services;</w:t>
      </w:r>
    </w:p>
    <w:p w14:paraId="6C1F2ABE" w14:textId="77777777" w:rsidR="001F48EE" w:rsidRPr="00F84C79" w:rsidRDefault="001F48EE" w:rsidP="001F48EE">
      <w:pPr>
        <w:pStyle w:val="ListParagraph"/>
        <w:numPr>
          <w:ilvl w:val="1"/>
          <w:numId w:val="5"/>
        </w:numPr>
      </w:pPr>
      <w:r w:rsidRPr="00F84C79">
        <w:t>How, when and where the supports and services are being provided;</w:t>
      </w:r>
    </w:p>
    <w:p w14:paraId="02B7B10A" w14:textId="77777777" w:rsidR="001F48EE" w:rsidRPr="00F84C79" w:rsidRDefault="001F48EE" w:rsidP="001F48EE">
      <w:pPr>
        <w:pStyle w:val="ListParagraph"/>
        <w:numPr>
          <w:ilvl w:val="1"/>
          <w:numId w:val="5"/>
        </w:numPr>
      </w:pPr>
      <w:r w:rsidRPr="00F84C79">
        <w:t xml:space="preserve">The duration of the </w:t>
      </w:r>
      <w:r w:rsidRPr="00F84C79">
        <w:rPr>
          <w:i/>
          <w:iCs/>
        </w:rPr>
        <w:t>Service Agreement</w:t>
      </w:r>
      <w:r w:rsidRPr="00F84C79">
        <w:t xml:space="preserve"> and when and how the Agreement will be reviewed;</w:t>
      </w:r>
    </w:p>
    <w:p w14:paraId="5C0F8367" w14:textId="23E6883D" w:rsidR="001F48EE" w:rsidRPr="00F84C79" w:rsidRDefault="001F48EE" w:rsidP="001F48EE">
      <w:pPr>
        <w:pStyle w:val="ListParagraph"/>
        <w:numPr>
          <w:ilvl w:val="1"/>
          <w:numId w:val="5"/>
        </w:numPr>
      </w:pPr>
      <w:r w:rsidRPr="00F84C79">
        <w:t xml:space="preserve">How the participant or </w:t>
      </w:r>
      <w:r w:rsidR="00937DFE">
        <w:t>AmeCare</w:t>
      </w:r>
      <w:r w:rsidRPr="00F84C79">
        <w:t xml:space="preserve"> may change or end the Service Agreement;</w:t>
      </w:r>
    </w:p>
    <w:p w14:paraId="5A30FE28" w14:textId="77777777" w:rsidR="001F48EE" w:rsidRPr="00F84C79" w:rsidRDefault="001F48EE" w:rsidP="001F48EE">
      <w:pPr>
        <w:pStyle w:val="ListParagraph"/>
        <w:numPr>
          <w:ilvl w:val="1"/>
          <w:numId w:val="5"/>
        </w:numPr>
      </w:pPr>
      <w:r w:rsidRPr="00F84C79">
        <w:t>How any problems or issues that may arise will be handled;</w:t>
      </w:r>
    </w:p>
    <w:p w14:paraId="2493190D" w14:textId="77777777" w:rsidR="001F48EE" w:rsidRPr="00F84C79" w:rsidRDefault="001F48EE" w:rsidP="001F48EE">
      <w:pPr>
        <w:pStyle w:val="ListParagraph"/>
        <w:numPr>
          <w:ilvl w:val="1"/>
          <w:numId w:val="5"/>
        </w:numPr>
      </w:pPr>
      <w:r w:rsidRPr="00F84C79">
        <w:t>Arrangements to be put in place in the event of an emergency or disaster;</w:t>
      </w:r>
    </w:p>
    <w:p w14:paraId="3A34DD5E" w14:textId="77777777" w:rsidR="001F48EE" w:rsidRPr="00F84C79" w:rsidRDefault="001F48EE" w:rsidP="001F48EE">
      <w:pPr>
        <w:pStyle w:val="ListParagraph"/>
        <w:numPr>
          <w:ilvl w:val="1"/>
          <w:numId w:val="5"/>
        </w:numPr>
      </w:pPr>
      <w:r w:rsidRPr="00F84C79">
        <w:t xml:space="preserve">Participant responsibilities under the </w:t>
      </w:r>
      <w:r w:rsidRPr="00F84C79">
        <w:rPr>
          <w:i/>
          <w:iCs/>
        </w:rPr>
        <w:t>Service Agreement</w:t>
      </w:r>
      <w:r w:rsidRPr="00F84C79">
        <w:t>; and</w:t>
      </w:r>
    </w:p>
    <w:p w14:paraId="191D2A3B" w14:textId="0F4C6981" w:rsidR="001F48EE" w:rsidRPr="00F84C79" w:rsidRDefault="00937DFE" w:rsidP="001F48EE">
      <w:pPr>
        <w:pStyle w:val="ListParagraph"/>
        <w:numPr>
          <w:ilvl w:val="1"/>
          <w:numId w:val="5"/>
        </w:numPr>
      </w:pPr>
      <w:r>
        <w:t>AmeCare</w:t>
      </w:r>
      <w:r w:rsidR="001F48EE" w:rsidRPr="00F84C79">
        <w:t xml:space="preserve"> responsibilities under the </w:t>
      </w:r>
      <w:r w:rsidR="001F48EE" w:rsidRPr="00F84C79">
        <w:rPr>
          <w:i/>
          <w:iCs/>
        </w:rPr>
        <w:t>Service Agreement</w:t>
      </w:r>
      <w:r w:rsidR="001F48EE" w:rsidRPr="00F84C79">
        <w:t>.</w:t>
      </w:r>
    </w:p>
    <w:p w14:paraId="0EE9CD10" w14:textId="77777777" w:rsidR="001F48EE" w:rsidRPr="00F84C79" w:rsidRDefault="001F48EE" w:rsidP="001F48EE"/>
    <w:p w14:paraId="3A6C980F" w14:textId="77777777" w:rsidR="001F48EE" w:rsidRPr="00F84C79" w:rsidRDefault="001F48EE" w:rsidP="001F48EE">
      <w:r w:rsidRPr="00F84C79">
        <w:t xml:space="preserve">Service Agreements will be consistent with the </w:t>
      </w:r>
      <w:r w:rsidRPr="00F84C79">
        <w:rPr>
          <w:i/>
          <w:iCs/>
        </w:rPr>
        <w:t>NDIS Pricing Arrangements and Price</w:t>
      </w:r>
      <w:r w:rsidRPr="00F84C79">
        <w:t xml:space="preserve"> </w:t>
      </w:r>
      <w:r w:rsidRPr="00F84C79">
        <w:rPr>
          <w:i/>
          <w:iCs/>
        </w:rPr>
        <w:t>Limits</w:t>
      </w:r>
    </w:p>
    <w:p w14:paraId="73124898" w14:textId="77777777" w:rsidR="001F48EE" w:rsidRPr="00F84C79" w:rsidRDefault="001F48EE" w:rsidP="001F48EE">
      <w:pPr>
        <w:rPr>
          <w:i/>
          <w:iCs/>
        </w:rPr>
      </w:pPr>
      <w:r w:rsidRPr="00F84C79">
        <w:t xml:space="preserve">guidelines and the requirements of the </w:t>
      </w:r>
      <w:r w:rsidRPr="00F84C79">
        <w:rPr>
          <w:i/>
          <w:iCs/>
        </w:rPr>
        <w:t>A New Tax System (Goods and Service Tax)</w:t>
      </w:r>
    </w:p>
    <w:p w14:paraId="1F77E48F" w14:textId="77777777" w:rsidR="001F48EE" w:rsidRPr="00F84C79" w:rsidRDefault="001F48EE" w:rsidP="001F48EE">
      <w:r w:rsidRPr="00F84C79">
        <w:rPr>
          <w:i/>
          <w:iCs/>
        </w:rPr>
        <w:t>Act 1999</w:t>
      </w:r>
      <w:r w:rsidRPr="00F84C79">
        <w:t xml:space="preserve"> regarding the application of the GST.</w:t>
      </w:r>
    </w:p>
    <w:p w14:paraId="558806CF" w14:textId="77777777" w:rsidR="001F48EE" w:rsidRPr="00F84C79" w:rsidRDefault="001F48EE" w:rsidP="001F48EE"/>
    <w:p w14:paraId="5E7A0A44" w14:textId="7B506A30" w:rsidR="001F48EE" w:rsidRPr="00F84C79" w:rsidRDefault="00937DFE" w:rsidP="001F48EE">
      <w:r>
        <w:t>AmeCare</w:t>
      </w:r>
      <w:r w:rsidR="001F48EE" w:rsidRPr="00F84C79">
        <w:t xml:space="preserve"> staff must not seek to impose conditions on participants through </w:t>
      </w:r>
      <w:r w:rsidR="001F48EE" w:rsidRPr="00F84C79">
        <w:rPr>
          <w:i/>
          <w:iCs/>
        </w:rPr>
        <w:t>Service Agreements</w:t>
      </w:r>
      <w:r w:rsidR="001F48EE" w:rsidRPr="00F84C79">
        <w:t xml:space="preserve"> that are not in line with those set out in the </w:t>
      </w:r>
      <w:r w:rsidR="001F48EE" w:rsidRPr="00F84C79">
        <w:rPr>
          <w:i/>
          <w:iCs/>
        </w:rPr>
        <w:t>NDIS Pricing Arrangements and Price Limits</w:t>
      </w:r>
      <w:r w:rsidR="001F48EE" w:rsidRPr="00F84C79">
        <w:t xml:space="preserve"> and its associated documents.</w:t>
      </w:r>
    </w:p>
    <w:p w14:paraId="0AE8AF18" w14:textId="77777777" w:rsidR="001F48EE" w:rsidRPr="00F84C79" w:rsidRDefault="001F48EE" w:rsidP="001F48EE"/>
    <w:p w14:paraId="1B91DDC6" w14:textId="77777777" w:rsidR="001F48EE" w:rsidRPr="00F84C79" w:rsidRDefault="001F48EE" w:rsidP="001F48EE">
      <w:r w:rsidRPr="00F84C79">
        <w:t xml:space="preserve">Staff must ensure that each participant and/or their representatives sign the </w:t>
      </w:r>
      <w:r w:rsidRPr="00F84C79">
        <w:rPr>
          <w:i/>
          <w:iCs/>
        </w:rPr>
        <w:t>Service Agreement</w:t>
      </w:r>
      <w:r w:rsidRPr="00F84C79">
        <w:t xml:space="preserve"> before service delivery commences.</w:t>
      </w:r>
    </w:p>
    <w:p w14:paraId="45F5B54B" w14:textId="77777777" w:rsidR="001F48EE" w:rsidRPr="00F84C79" w:rsidRDefault="001F48EE" w:rsidP="001F48EE"/>
    <w:p w14:paraId="7E38D935" w14:textId="77777777" w:rsidR="001F48EE" w:rsidRPr="00F84C79" w:rsidRDefault="001F48EE" w:rsidP="001F48EE">
      <w:r w:rsidRPr="00F84C79">
        <w:t>For each Service Agreement, staff must:</w:t>
      </w:r>
    </w:p>
    <w:p w14:paraId="65F1B3B9" w14:textId="77777777" w:rsidR="001F48EE" w:rsidRPr="00F84C79" w:rsidRDefault="001F48EE" w:rsidP="001F48EE">
      <w:pPr>
        <w:pStyle w:val="ListParagraph"/>
        <w:numPr>
          <w:ilvl w:val="0"/>
          <w:numId w:val="6"/>
        </w:numPr>
      </w:pPr>
      <w:r w:rsidRPr="00F84C79">
        <w:t xml:space="preserve">Collaborate with the participant or their family/support network to develop the </w:t>
      </w:r>
      <w:r w:rsidRPr="00F84C79">
        <w:rPr>
          <w:i/>
          <w:iCs/>
        </w:rPr>
        <w:t>Service Agreement</w:t>
      </w:r>
      <w:r w:rsidRPr="00F84C79">
        <w:t>.</w:t>
      </w:r>
    </w:p>
    <w:p w14:paraId="0488A896" w14:textId="77777777" w:rsidR="001F48EE" w:rsidRPr="00F84C79" w:rsidRDefault="001F48EE" w:rsidP="001F48EE">
      <w:pPr>
        <w:pStyle w:val="ListParagraph"/>
        <w:numPr>
          <w:ilvl w:val="0"/>
          <w:numId w:val="6"/>
        </w:numPr>
      </w:pPr>
      <w:r w:rsidRPr="00F84C79">
        <w:t xml:space="preserve">Provide a copy of the </w:t>
      </w:r>
      <w:r w:rsidRPr="00F84C79">
        <w:rPr>
          <w:i/>
          <w:iCs/>
        </w:rPr>
        <w:t>Service Agreement</w:t>
      </w:r>
      <w:r w:rsidRPr="00F84C79">
        <w:t xml:space="preserve"> to each participant. Where this is not practicable, or the participant chooses not to have an agreement, staff must keep a record of the circumstances under which the participant did not receive a copy of their agreement. The participant or their representative can make a note of the agreement about this.</w:t>
      </w:r>
    </w:p>
    <w:p w14:paraId="09B836F2" w14:textId="77777777" w:rsidR="001F48EE" w:rsidRPr="00F84C79" w:rsidRDefault="001F48EE" w:rsidP="001F48EE">
      <w:pPr>
        <w:pStyle w:val="ListParagraph"/>
        <w:numPr>
          <w:ilvl w:val="0"/>
          <w:numId w:val="6"/>
        </w:numPr>
      </w:pPr>
      <w:r w:rsidRPr="00F84C79">
        <w:t>Ensure that the participant and their family/support network understand their Service Agreement. Staff must supply easy-to-read documents or engage an interpreter or advocate where required.</w:t>
      </w:r>
    </w:p>
    <w:p w14:paraId="7B209B15" w14:textId="77777777" w:rsidR="001F48EE" w:rsidRDefault="001F48EE" w:rsidP="001F48EE">
      <w:pPr>
        <w:pStyle w:val="ListParagraph"/>
        <w:numPr>
          <w:ilvl w:val="0"/>
          <w:numId w:val="6"/>
        </w:numPr>
      </w:pPr>
      <w:r w:rsidRPr="00F84C79">
        <w:t>Keep a copy of each Service Agreement on the participant’s file.</w:t>
      </w:r>
    </w:p>
    <w:p w14:paraId="38DC3CA0" w14:textId="77777777" w:rsidR="00746CCE" w:rsidRDefault="00746CCE" w:rsidP="00746CCE"/>
    <w:p w14:paraId="34928E83" w14:textId="77777777" w:rsidR="00746CCE" w:rsidRPr="00746CCE" w:rsidRDefault="00746CCE" w:rsidP="00746CCE">
      <w:pPr>
        <w:rPr>
          <w:rFonts w:cstheme="minorHAnsi"/>
          <w:b/>
          <w:bCs/>
        </w:rPr>
      </w:pPr>
      <w:r w:rsidRPr="00746CCE">
        <w:rPr>
          <w:rFonts w:cstheme="minorHAnsi"/>
          <w:b/>
          <w:bCs/>
        </w:rPr>
        <w:t>Tenancy, Rooming House, and Supported Residential Services (SRS) Agreements</w:t>
      </w:r>
    </w:p>
    <w:p w14:paraId="43073C4C" w14:textId="77777777" w:rsidR="00746CCE" w:rsidRDefault="00746CCE" w:rsidP="00746CCE">
      <w:pPr>
        <w:rPr>
          <w:rFonts w:cstheme="minorHAnsi"/>
        </w:rPr>
      </w:pPr>
    </w:p>
    <w:p w14:paraId="7572085C" w14:textId="1852FED7" w:rsidR="00746CCE" w:rsidRDefault="00746CCE" w:rsidP="00746CCE">
      <w:pPr>
        <w:rPr>
          <w:rFonts w:cstheme="minorHAnsi"/>
        </w:rPr>
      </w:pPr>
      <w:r w:rsidRPr="00746CCE">
        <w:rPr>
          <w:rFonts w:cstheme="minorHAnsi"/>
        </w:rPr>
        <w:t>Where AmeCare provides supports to participants in specialist disability accommodation, rooming houses, or Supported Residential Services (SRS), the following requirements apply:</w:t>
      </w:r>
    </w:p>
    <w:p w14:paraId="4695A23A" w14:textId="77777777" w:rsidR="00746CCE" w:rsidRPr="00746CCE" w:rsidRDefault="00746CCE" w:rsidP="00746CCE">
      <w:pPr>
        <w:rPr>
          <w:rFonts w:cstheme="minorHAnsi"/>
        </w:rPr>
      </w:pPr>
    </w:p>
    <w:p w14:paraId="32B7AA48" w14:textId="77777777" w:rsidR="00746CCE" w:rsidRPr="00746CCE" w:rsidRDefault="00746CCE" w:rsidP="00746CCE">
      <w:pPr>
        <w:numPr>
          <w:ilvl w:val="0"/>
          <w:numId w:val="13"/>
        </w:numPr>
        <w:rPr>
          <w:rFonts w:cstheme="minorHAnsi"/>
        </w:rPr>
      </w:pPr>
      <w:r w:rsidRPr="00746CCE">
        <w:rPr>
          <w:rFonts w:cstheme="minorHAnsi"/>
        </w:rPr>
        <w:t>Service Agreements must reference and comply with relevant state legislation, including the Victorian Residential Tenancies Act 1997, Rooming House regulations, and Supported Residential Services (Private Proprietors) Act 2010.</w:t>
      </w:r>
    </w:p>
    <w:p w14:paraId="4B0C658C" w14:textId="77777777" w:rsidR="00746CCE" w:rsidRPr="00746CCE" w:rsidRDefault="00746CCE" w:rsidP="00746CCE">
      <w:pPr>
        <w:numPr>
          <w:ilvl w:val="0"/>
          <w:numId w:val="13"/>
        </w:numPr>
        <w:rPr>
          <w:rFonts w:cstheme="minorHAnsi"/>
        </w:rPr>
      </w:pPr>
      <w:r w:rsidRPr="00746CCE">
        <w:rPr>
          <w:rFonts w:cstheme="minorHAnsi"/>
        </w:rPr>
        <w:t>Where a tenancy, rooming house, or SRS agreement is required, AmeCare will ensure:</w:t>
      </w:r>
    </w:p>
    <w:p w14:paraId="35A07A16" w14:textId="77777777" w:rsidR="00746CCE" w:rsidRPr="00746CCE" w:rsidRDefault="00746CCE" w:rsidP="00746CCE">
      <w:pPr>
        <w:numPr>
          <w:ilvl w:val="1"/>
          <w:numId w:val="13"/>
        </w:numPr>
        <w:rPr>
          <w:rFonts w:cstheme="minorHAnsi"/>
        </w:rPr>
      </w:pPr>
      <w:r w:rsidRPr="00746CCE">
        <w:rPr>
          <w:rFonts w:cstheme="minorHAnsi"/>
        </w:rPr>
        <w:t>The agreement documents the nature and terms of the accommodation arrangement, including rights and responsibilities of both the participant and the provider.</w:t>
      </w:r>
    </w:p>
    <w:p w14:paraId="687869BE" w14:textId="77777777" w:rsidR="00746CCE" w:rsidRPr="00746CCE" w:rsidRDefault="00746CCE" w:rsidP="00746CCE">
      <w:pPr>
        <w:numPr>
          <w:ilvl w:val="1"/>
          <w:numId w:val="13"/>
        </w:numPr>
        <w:rPr>
          <w:rFonts w:cstheme="minorHAnsi"/>
        </w:rPr>
      </w:pPr>
      <w:r w:rsidRPr="00746CCE">
        <w:rPr>
          <w:rFonts w:cstheme="minorHAnsi"/>
        </w:rPr>
        <w:t>Supporting information is provided to the participant, such as:</w:t>
      </w:r>
    </w:p>
    <w:p w14:paraId="6E7D905D" w14:textId="77777777" w:rsidR="00746CCE" w:rsidRPr="00746CCE" w:rsidRDefault="00746CCE" w:rsidP="00746CCE">
      <w:pPr>
        <w:numPr>
          <w:ilvl w:val="2"/>
          <w:numId w:val="13"/>
        </w:numPr>
        <w:rPr>
          <w:rFonts w:cstheme="minorHAnsi"/>
        </w:rPr>
      </w:pPr>
      <w:r w:rsidRPr="00746CCE">
        <w:rPr>
          <w:rFonts w:cstheme="minorHAnsi"/>
        </w:rPr>
        <w:t>Information statements required under the Residential Tenancies Act or SRS regulations.</w:t>
      </w:r>
    </w:p>
    <w:p w14:paraId="621820AA" w14:textId="77777777" w:rsidR="00746CCE" w:rsidRPr="00746CCE" w:rsidRDefault="00746CCE" w:rsidP="00746CCE">
      <w:pPr>
        <w:numPr>
          <w:ilvl w:val="2"/>
          <w:numId w:val="13"/>
        </w:numPr>
        <w:rPr>
          <w:rFonts w:cstheme="minorHAnsi"/>
        </w:rPr>
      </w:pPr>
      <w:r w:rsidRPr="00746CCE">
        <w:rPr>
          <w:rFonts w:cstheme="minorHAnsi"/>
        </w:rPr>
        <w:t>Condition reports for the premises, completed at the start and end of the tenancy or accommodation arrangement.</w:t>
      </w:r>
    </w:p>
    <w:p w14:paraId="52AA14B7" w14:textId="77777777" w:rsidR="00746CCE" w:rsidRPr="00746CCE" w:rsidRDefault="00746CCE" w:rsidP="00746CCE">
      <w:pPr>
        <w:numPr>
          <w:ilvl w:val="2"/>
          <w:numId w:val="13"/>
        </w:numPr>
        <w:rPr>
          <w:rFonts w:cstheme="minorHAnsi"/>
        </w:rPr>
      </w:pPr>
      <w:r w:rsidRPr="00746CCE">
        <w:rPr>
          <w:rFonts w:cstheme="minorHAnsi"/>
        </w:rPr>
        <w:t>Details of rent, fees, and charges, including payment arrangements and processes for review.</w:t>
      </w:r>
    </w:p>
    <w:p w14:paraId="61E98D17" w14:textId="77777777" w:rsidR="00746CCE" w:rsidRPr="00746CCE" w:rsidRDefault="00746CCE" w:rsidP="00746CCE">
      <w:pPr>
        <w:numPr>
          <w:ilvl w:val="2"/>
          <w:numId w:val="13"/>
        </w:numPr>
        <w:rPr>
          <w:rFonts w:cstheme="minorHAnsi"/>
        </w:rPr>
      </w:pPr>
      <w:r w:rsidRPr="00746CCE">
        <w:rPr>
          <w:rFonts w:cstheme="minorHAnsi"/>
        </w:rPr>
        <w:t>Procedures for raising concerns or complaints about the accommodation.</w:t>
      </w:r>
    </w:p>
    <w:p w14:paraId="57D698AD" w14:textId="77777777" w:rsidR="00746CCE" w:rsidRPr="00746CCE" w:rsidRDefault="00746CCE" w:rsidP="00746CCE">
      <w:pPr>
        <w:numPr>
          <w:ilvl w:val="0"/>
          <w:numId w:val="13"/>
        </w:numPr>
        <w:rPr>
          <w:rFonts w:cstheme="minorHAnsi"/>
        </w:rPr>
      </w:pPr>
      <w:r w:rsidRPr="00746CCE">
        <w:rPr>
          <w:rFonts w:cstheme="minorHAnsi"/>
        </w:rPr>
        <w:t>AmeCare will maintain records of all tenancy, rooming house, or SRS agreements and supporting documentation.</w:t>
      </w:r>
    </w:p>
    <w:p w14:paraId="5EABFF36" w14:textId="77777777" w:rsidR="00746CCE" w:rsidRPr="00746CCE" w:rsidRDefault="00746CCE" w:rsidP="00746CCE">
      <w:pPr>
        <w:numPr>
          <w:ilvl w:val="0"/>
          <w:numId w:val="13"/>
        </w:numPr>
        <w:rPr>
          <w:rFonts w:cstheme="minorHAnsi"/>
        </w:rPr>
      </w:pPr>
      <w:r w:rsidRPr="00746CCE">
        <w:rPr>
          <w:rFonts w:cstheme="minorHAnsi"/>
        </w:rPr>
        <w:lastRenderedPageBreak/>
        <w:t>Staff will ensure participants understand their rights and obligations under these agreements, and provide easy-to-read documents or access to advocacy as required.</w:t>
      </w:r>
    </w:p>
    <w:p w14:paraId="2CEA652C" w14:textId="77777777" w:rsidR="001F48EE" w:rsidRPr="00F84C79" w:rsidRDefault="001F48EE" w:rsidP="001F48EE"/>
    <w:p w14:paraId="37381C3B" w14:textId="77777777" w:rsidR="001F48EE" w:rsidRPr="00F84C79" w:rsidRDefault="001F48EE" w:rsidP="001F48EE">
      <w:r w:rsidRPr="00F84C79">
        <w:t xml:space="preserve">The </w:t>
      </w:r>
      <w:r w:rsidR="00291189" w:rsidRPr="00F84C79">
        <w:t>Director</w:t>
      </w:r>
      <w:r w:rsidRPr="00F84C79">
        <w:t xml:space="preserve"> is responsible for delegating the function of the development of Service Agreements with participants to the appropriate staff members.</w:t>
      </w:r>
    </w:p>
    <w:p w14:paraId="7E9FD5B4" w14:textId="77777777" w:rsidR="001F48EE" w:rsidRPr="00F84C79" w:rsidRDefault="001F48EE" w:rsidP="001F48EE"/>
    <w:p w14:paraId="54D6452A" w14:textId="77777777" w:rsidR="001F48EE" w:rsidRPr="00F84C79" w:rsidRDefault="001F48EE" w:rsidP="001F48EE">
      <w:pPr>
        <w:rPr>
          <w:b/>
          <w:bCs/>
          <w:sz w:val="28"/>
          <w:szCs w:val="28"/>
        </w:rPr>
      </w:pPr>
      <w:bookmarkStart w:id="6" w:name="_Toc157441934"/>
      <w:r w:rsidRPr="00F84C79">
        <w:rPr>
          <w:b/>
          <w:bCs/>
          <w:sz w:val="28"/>
          <w:szCs w:val="28"/>
        </w:rPr>
        <w:t>RELATED DOCUMENTS</w:t>
      </w:r>
      <w:bookmarkEnd w:id="6"/>
    </w:p>
    <w:p w14:paraId="3B282FF4" w14:textId="77777777" w:rsidR="001F48EE" w:rsidRPr="00F84C79" w:rsidRDefault="001F48EE" w:rsidP="001F48EE"/>
    <w:p w14:paraId="0FC4795D" w14:textId="77777777" w:rsidR="001F48EE" w:rsidRPr="00F84C79" w:rsidRDefault="001F48EE" w:rsidP="001F48EE">
      <w:pPr>
        <w:pStyle w:val="ListParagraph"/>
        <w:numPr>
          <w:ilvl w:val="1"/>
          <w:numId w:val="2"/>
        </w:numPr>
      </w:pPr>
      <w:r w:rsidRPr="00F84C79">
        <w:t>Service Agreement</w:t>
      </w:r>
    </w:p>
    <w:p w14:paraId="7F709077" w14:textId="5AA0CF55" w:rsidR="001F48EE" w:rsidRPr="00F84C79" w:rsidRDefault="001F48EE" w:rsidP="001F48EE">
      <w:pPr>
        <w:pStyle w:val="ListParagraph"/>
        <w:numPr>
          <w:ilvl w:val="1"/>
          <w:numId w:val="2"/>
        </w:numPr>
      </w:pPr>
      <w:r w:rsidRPr="00F84C79">
        <w:t xml:space="preserve">Participant </w:t>
      </w:r>
      <w:r w:rsidR="00937DFE">
        <w:t>Portal</w:t>
      </w:r>
    </w:p>
    <w:p w14:paraId="1C632177" w14:textId="0E5C95D2" w:rsidR="001F48EE" w:rsidRPr="00F84C79" w:rsidRDefault="001F48EE" w:rsidP="001F48EE">
      <w:pPr>
        <w:pStyle w:val="ListParagraph"/>
        <w:numPr>
          <w:ilvl w:val="1"/>
          <w:numId w:val="2"/>
        </w:numPr>
      </w:pPr>
      <w:r w:rsidRPr="00F84C79">
        <w:t xml:space="preserve">Staff </w:t>
      </w:r>
      <w:r w:rsidR="00937DFE">
        <w:t>Portal</w:t>
      </w:r>
    </w:p>
    <w:p w14:paraId="22078C01" w14:textId="77777777" w:rsidR="001F48EE" w:rsidRDefault="001F48EE" w:rsidP="001F48EE">
      <w:pPr>
        <w:pStyle w:val="ListParagraph"/>
        <w:numPr>
          <w:ilvl w:val="1"/>
          <w:numId w:val="2"/>
        </w:numPr>
      </w:pPr>
      <w:r w:rsidRPr="00F84C79">
        <w:t>Easy read documents</w:t>
      </w:r>
    </w:p>
    <w:p w14:paraId="28602BE5" w14:textId="77777777" w:rsidR="00746CCE" w:rsidRPr="00746CCE" w:rsidRDefault="00746CCE" w:rsidP="00746CCE">
      <w:pPr>
        <w:numPr>
          <w:ilvl w:val="0"/>
          <w:numId w:val="2"/>
        </w:numPr>
      </w:pPr>
      <w:r w:rsidRPr="00746CCE">
        <w:t>Tenancy, Rooming House, and SRS Agreement Templates</w:t>
      </w:r>
    </w:p>
    <w:p w14:paraId="0C80A671" w14:textId="77777777" w:rsidR="00746CCE" w:rsidRPr="00746CCE" w:rsidRDefault="00746CCE" w:rsidP="00746CCE">
      <w:pPr>
        <w:numPr>
          <w:ilvl w:val="0"/>
          <w:numId w:val="2"/>
        </w:numPr>
      </w:pPr>
      <w:r w:rsidRPr="00746CCE">
        <w:t>Conflict of Interest Register and Management Procedures</w:t>
      </w:r>
    </w:p>
    <w:p w14:paraId="5A97027E" w14:textId="77777777" w:rsidR="00746CCE" w:rsidRPr="00F84C79" w:rsidRDefault="00746CCE" w:rsidP="00746CCE">
      <w:pPr>
        <w:pStyle w:val="ListParagraph"/>
      </w:pPr>
    </w:p>
    <w:p w14:paraId="1692B791" w14:textId="77777777" w:rsidR="001F48EE" w:rsidRPr="00F84C79" w:rsidRDefault="001F48EE" w:rsidP="001F48EE">
      <w:pPr>
        <w:pStyle w:val="ListParagraph"/>
      </w:pPr>
    </w:p>
    <w:p w14:paraId="1598E7CE" w14:textId="77777777" w:rsidR="001F48EE" w:rsidRPr="00F84C79" w:rsidRDefault="001F48EE" w:rsidP="001F48EE">
      <w:pPr>
        <w:pStyle w:val="Heading2"/>
        <w:rPr>
          <w:rFonts w:ascii="Calibri" w:hAnsi="Calibri" w:cs="Calibri"/>
          <w:b/>
          <w:bCs/>
          <w:color w:val="000000" w:themeColor="text1"/>
          <w:sz w:val="28"/>
          <w:szCs w:val="28"/>
        </w:rPr>
      </w:pPr>
      <w:bookmarkStart w:id="7" w:name="_Toc157441935"/>
      <w:r w:rsidRPr="00F84C79">
        <w:rPr>
          <w:rFonts w:ascii="Calibri" w:hAnsi="Calibri" w:cs="Calibri"/>
          <w:b/>
          <w:bCs/>
          <w:color w:val="000000" w:themeColor="text1"/>
          <w:sz w:val="28"/>
          <w:szCs w:val="28"/>
        </w:rPr>
        <w:t>REFERENCES</w:t>
      </w:r>
      <w:bookmarkEnd w:id="7"/>
    </w:p>
    <w:p w14:paraId="2601912B" w14:textId="77777777" w:rsidR="001F48EE" w:rsidRPr="00F84C79" w:rsidRDefault="001F48EE" w:rsidP="001F48EE"/>
    <w:p w14:paraId="252AF577" w14:textId="77777777" w:rsidR="001F48EE" w:rsidRPr="00F84C79" w:rsidRDefault="001F48EE" w:rsidP="001F48EE">
      <w:pPr>
        <w:pStyle w:val="ListParagraph"/>
        <w:numPr>
          <w:ilvl w:val="1"/>
          <w:numId w:val="2"/>
        </w:numPr>
      </w:pPr>
      <w:r w:rsidRPr="00F84C79">
        <w:t>National Disability Insurance Scheme Act 2013 (Cth)</w:t>
      </w:r>
    </w:p>
    <w:p w14:paraId="7C179DB5" w14:textId="77777777" w:rsidR="001F48EE" w:rsidRPr="00F84C79" w:rsidRDefault="001F48EE" w:rsidP="001F48EE">
      <w:pPr>
        <w:pStyle w:val="ListParagraph"/>
        <w:numPr>
          <w:ilvl w:val="1"/>
          <w:numId w:val="2"/>
        </w:numPr>
      </w:pPr>
      <w:r w:rsidRPr="00F84C79">
        <w:t>A New Tax System (Goods and Service Tax) Act 1999 (Cth)</w:t>
      </w:r>
    </w:p>
    <w:p w14:paraId="310A33E6" w14:textId="77777777" w:rsidR="001F48EE" w:rsidRPr="00F84C79" w:rsidRDefault="001F48EE" w:rsidP="001F48EE">
      <w:pPr>
        <w:pStyle w:val="ListParagraph"/>
        <w:numPr>
          <w:ilvl w:val="1"/>
          <w:numId w:val="2"/>
        </w:numPr>
      </w:pPr>
      <w:r w:rsidRPr="00F84C79">
        <w:t>NDIS Practice Standards and Quality Indicators – November 2021</w:t>
      </w:r>
    </w:p>
    <w:p w14:paraId="6F75BDDE" w14:textId="77777777" w:rsidR="001F48EE" w:rsidRPr="00F84C79" w:rsidRDefault="001F48EE" w:rsidP="001F48EE">
      <w:pPr>
        <w:pStyle w:val="ListParagraph"/>
        <w:numPr>
          <w:ilvl w:val="1"/>
          <w:numId w:val="2"/>
        </w:numPr>
      </w:pPr>
      <w:r w:rsidRPr="00F84C79">
        <w:t>National Standards for Disability Services</w:t>
      </w:r>
    </w:p>
    <w:p w14:paraId="1301DA26" w14:textId="77777777" w:rsidR="001F48EE" w:rsidRPr="00F84C79" w:rsidRDefault="001F48EE" w:rsidP="001F48EE">
      <w:pPr>
        <w:pStyle w:val="ListParagraph"/>
        <w:numPr>
          <w:ilvl w:val="1"/>
          <w:numId w:val="2"/>
        </w:numPr>
      </w:pPr>
      <w:hyperlink r:id="rId7" w:history="1">
        <w:r w:rsidRPr="00F84C79">
          <w:rPr>
            <w:rStyle w:val="Hyperlink"/>
          </w:rPr>
          <w:t>NDIS Price Arrangements and Price Limits</w:t>
        </w:r>
      </w:hyperlink>
    </w:p>
    <w:p w14:paraId="2C7F5423" w14:textId="6A7A6774" w:rsidR="00746CCE" w:rsidRPr="00746CCE" w:rsidRDefault="001F48EE" w:rsidP="00746CCE">
      <w:pPr>
        <w:pStyle w:val="ListParagraph"/>
        <w:numPr>
          <w:ilvl w:val="1"/>
          <w:numId w:val="2"/>
        </w:numPr>
        <w:rPr>
          <w:rFonts w:ascii="Calibri" w:hAnsi="Calibri" w:cs="Calibri"/>
        </w:rPr>
      </w:pPr>
      <w:r w:rsidRPr="00F84C79">
        <w:rPr>
          <w:rFonts w:ascii="Calibri" w:hAnsi="Calibri" w:cs="Calibri"/>
        </w:rPr>
        <w:t>Disability Act 2006 (VIC)</w:t>
      </w:r>
    </w:p>
    <w:p w14:paraId="38B6CAD1" w14:textId="77777777" w:rsidR="00746CCE" w:rsidRPr="00746CCE" w:rsidRDefault="00746CCE" w:rsidP="00746CCE">
      <w:pPr>
        <w:numPr>
          <w:ilvl w:val="0"/>
          <w:numId w:val="15"/>
        </w:numPr>
      </w:pPr>
      <w:r w:rsidRPr="00746CCE">
        <w:t>Victorian Residential Tenancies Act 1997</w:t>
      </w:r>
    </w:p>
    <w:p w14:paraId="578F8705" w14:textId="77777777" w:rsidR="00746CCE" w:rsidRPr="00746CCE" w:rsidRDefault="00746CCE" w:rsidP="00746CCE">
      <w:pPr>
        <w:numPr>
          <w:ilvl w:val="0"/>
          <w:numId w:val="15"/>
        </w:numPr>
      </w:pPr>
      <w:r w:rsidRPr="00746CCE">
        <w:t>Rooming House Regulations (VIC)</w:t>
      </w:r>
    </w:p>
    <w:p w14:paraId="383BB584" w14:textId="77777777" w:rsidR="00746CCE" w:rsidRPr="00746CCE" w:rsidRDefault="00746CCE" w:rsidP="00746CCE">
      <w:pPr>
        <w:numPr>
          <w:ilvl w:val="0"/>
          <w:numId w:val="15"/>
        </w:numPr>
      </w:pPr>
      <w:r w:rsidRPr="00746CCE">
        <w:t>Supported Residential Services (Private Proprietors) Act 2010 (VIC)</w:t>
      </w:r>
    </w:p>
    <w:p w14:paraId="65AF559A" w14:textId="77777777" w:rsidR="00746CCE" w:rsidRPr="00746CCE" w:rsidRDefault="00746CCE" w:rsidP="00746CCE">
      <w:pPr>
        <w:numPr>
          <w:ilvl w:val="0"/>
          <w:numId w:val="15"/>
        </w:numPr>
      </w:pPr>
      <w:r w:rsidRPr="00746CCE">
        <w:t>NDIS Quality and Safeguards Commission Guidance on Conflict of Interest</w:t>
      </w:r>
    </w:p>
    <w:p w14:paraId="1C4175CC" w14:textId="77777777" w:rsidR="001F48EE" w:rsidRPr="00F84C79" w:rsidRDefault="001F48EE" w:rsidP="001F48EE"/>
    <w:p w14:paraId="1650CB89" w14:textId="77777777" w:rsidR="001F48EE" w:rsidRPr="00F84C79" w:rsidRDefault="001F48EE" w:rsidP="001F48EE">
      <w:pPr>
        <w:rPr>
          <w:b/>
          <w:bCs/>
          <w:sz w:val="28"/>
          <w:szCs w:val="28"/>
        </w:rPr>
      </w:pPr>
      <w:r w:rsidRPr="00F84C79">
        <w:rPr>
          <w:b/>
          <w:bCs/>
          <w:sz w:val="28"/>
          <w:szCs w:val="28"/>
        </w:rPr>
        <w:t>REVIEW DETAILS</w:t>
      </w:r>
    </w:p>
    <w:p w14:paraId="349CF1A1" w14:textId="77777777" w:rsidR="001F48EE" w:rsidRPr="00F84C79" w:rsidRDefault="001F48EE" w:rsidP="001F48EE"/>
    <w:tbl>
      <w:tblPr>
        <w:tblStyle w:val="TableGrid"/>
        <w:tblW w:w="5000" w:type="pct"/>
        <w:tblLook w:val="04A0" w:firstRow="1" w:lastRow="0" w:firstColumn="1" w:lastColumn="0" w:noHBand="0" w:noVBand="1"/>
      </w:tblPr>
      <w:tblGrid>
        <w:gridCol w:w="3257"/>
        <w:gridCol w:w="5759"/>
      </w:tblGrid>
      <w:tr w:rsidR="001F48EE" w:rsidRPr="00F84C79" w14:paraId="3B644F83" w14:textId="77777777" w:rsidTr="009F6261">
        <w:trPr>
          <w:trHeight w:val="340"/>
        </w:trPr>
        <w:tc>
          <w:tcPr>
            <w:tcW w:w="1806" w:type="pct"/>
            <w:vAlign w:val="center"/>
          </w:tcPr>
          <w:p w14:paraId="03EE836F" w14:textId="77777777" w:rsidR="001F48EE" w:rsidRPr="00F84C79" w:rsidRDefault="001F48EE" w:rsidP="009F6261">
            <w:pPr>
              <w:rPr>
                <w:b/>
                <w:bCs/>
              </w:rPr>
            </w:pPr>
            <w:r w:rsidRPr="00F84C79">
              <w:rPr>
                <w:b/>
                <w:bCs/>
              </w:rPr>
              <w:t>Approval Authority:</w:t>
            </w:r>
          </w:p>
        </w:tc>
        <w:tc>
          <w:tcPr>
            <w:tcW w:w="3194" w:type="pct"/>
            <w:vAlign w:val="center"/>
          </w:tcPr>
          <w:p w14:paraId="7034F9E9" w14:textId="6B576F1E" w:rsidR="001F48EE" w:rsidRPr="00F84C79" w:rsidRDefault="001F48EE" w:rsidP="009F6261">
            <w:r w:rsidRPr="00F84C79">
              <w:t>Director</w:t>
            </w:r>
            <w:r w:rsidR="002966A2">
              <w:t xml:space="preserve"> – Gina Robinson</w:t>
            </w:r>
          </w:p>
        </w:tc>
      </w:tr>
      <w:tr w:rsidR="001F48EE" w:rsidRPr="00F84C79" w14:paraId="3529C087" w14:textId="77777777" w:rsidTr="009F6261">
        <w:trPr>
          <w:trHeight w:val="340"/>
        </w:trPr>
        <w:tc>
          <w:tcPr>
            <w:tcW w:w="1806" w:type="pct"/>
            <w:vAlign w:val="center"/>
          </w:tcPr>
          <w:p w14:paraId="124B35C6" w14:textId="77777777" w:rsidR="001F48EE" w:rsidRPr="00F84C79" w:rsidRDefault="001F48EE" w:rsidP="009F6261">
            <w:pPr>
              <w:rPr>
                <w:b/>
                <w:bCs/>
              </w:rPr>
            </w:pPr>
            <w:r w:rsidRPr="00F84C79">
              <w:rPr>
                <w:b/>
                <w:bCs/>
              </w:rPr>
              <w:t>Approval Date:</w:t>
            </w:r>
          </w:p>
        </w:tc>
        <w:tc>
          <w:tcPr>
            <w:tcW w:w="3194" w:type="pct"/>
            <w:vAlign w:val="center"/>
          </w:tcPr>
          <w:p w14:paraId="6A5AB6F5" w14:textId="77777777" w:rsidR="001F48EE" w:rsidRPr="00F84C79" w:rsidRDefault="001F48EE" w:rsidP="009F6261">
            <w:r w:rsidRPr="00F84C79">
              <w:t>12/06/2025</w:t>
            </w:r>
          </w:p>
        </w:tc>
      </w:tr>
      <w:tr w:rsidR="001F48EE" w:rsidRPr="00F84C79" w14:paraId="36F855AC" w14:textId="77777777" w:rsidTr="009F6261">
        <w:trPr>
          <w:trHeight w:val="340"/>
        </w:trPr>
        <w:tc>
          <w:tcPr>
            <w:tcW w:w="1806" w:type="pct"/>
            <w:vAlign w:val="center"/>
          </w:tcPr>
          <w:p w14:paraId="1DCBC79F" w14:textId="77777777" w:rsidR="001F48EE" w:rsidRPr="00F84C79" w:rsidRDefault="001F48EE" w:rsidP="009F6261">
            <w:pPr>
              <w:rPr>
                <w:b/>
                <w:bCs/>
              </w:rPr>
            </w:pPr>
            <w:r w:rsidRPr="00F84C79">
              <w:rPr>
                <w:b/>
                <w:bCs/>
              </w:rPr>
              <w:t>Last Update Date:</w:t>
            </w:r>
          </w:p>
        </w:tc>
        <w:tc>
          <w:tcPr>
            <w:tcW w:w="3194" w:type="pct"/>
            <w:vAlign w:val="center"/>
          </w:tcPr>
          <w:p w14:paraId="2DB5EAAA" w14:textId="176605B7" w:rsidR="001F48EE" w:rsidRPr="00F84C79" w:rsidRDefault="005C6059" w:rsidP="009F6261">
            <w:r>
              <w:t>23/8/</w:t>
            </w:r>
            <w:r w:rsidR="002966A2">
              <w:t>2025</w:t>
            </w:r>
          </w:p>
        </w:tc>
      </w:tr>
      <w:tr w:rsidR="001F48EE" w:rsidRPr="00F84C79" w14:paraId="284DBFF1" w14:textId="77777777" w:rsidTr="009F6261">
        <w:trPr>
          <w:trHeight w:val="340"/>
        </w:trPr>
        <w:tc>
          <w:tcPr>
            <w:tcW w:w="1806" w:type="pct"/>
            <w:vAlign w:val="center"/>
          </w:tcPr>
          <w:p w14:paraId="6FFB801F" w14:textId="77777777" w:rsidR="001F48EE" w:rsidRPr="00F84C79" w:rsidRDefault="001F48EE" w:rsidP="009F6261">
            <w:pPr>
              <w:rPr>
                <w:b/>
                <w:bCs/>
              </w:rPr>
            </w:pPr>
            <w:r w:rsidRPr="00F84C79">
              <w:rPr>
                <w:b/>
                <w:bCs/>
              </w:rPr>
              <w:t>Next Review Date:</w:t>
            </w:r>
          </w:p>
        </w:tc>
        <w:tc>
          <w:tcPr>
            <w:tcW w:w="3194" w:type="pct"/>
            <w:vAlign w:val="center"/>
          </w:tcPr>
          <w:p w14:paraId="1E6F20E5" w14:textId="25E0B665" w:rsidR="001F48EE" w:rsidRPr="00F84C79" w:rsidRDefault="005C6059" w:rsidP="009F6261">
            <w:pPr>
              <w:rPr>
                <w:b/>
                <w:bCs/>
              </w:rPr>
            </w:pPr>
            <w:r>
              <w:t>23/08</w:t>
            </w:r>
            <w:r w:rsidR="001F48EE" w:rsidRPr="00F84C79">
              <w:t>/2026</w:t>
            </w:r>
          </w:p>
        </w:tc>
      </w:tr>
      <w:tr w:rsidR="001F48EE" w14:paraId="35CA14BF" w14:textId="77777777" w:rsidTr="009F6261">
        <w:trPr>
          <w:trHeight w:val="340"/>
        </w:trPr>
        <w:tc>
          <w:tcPr>
            <w:tcW w:w="1806" w:type="pct"/>
            <w:vAlign w:val="center"/>
          </w:tcPr>
          <w:p w14:paraId="49C956B8" w14:textId="77777777" w:rsidR="001F48EE" w:rsidRPr="00F84C79" w:rsidRDefault="001F48EE" w:rsidP="009F6261">
            <w:pPr>
              <w:rPr>
                <w:b/>
                <w:bCs/>
              </w:rPr>
            </w:pPr>
            <w:r w:rsidRPr="00F84C79">
              <w:rPr>
                <w:b/>
                <w:bCs/>
              </w:rPr>
              <w:t>Version Control No.:</w:t>
            </w:r>
          </w:p>
        </w:tc>
        <w:tc>
          <w:tcPr>
            <w:tcW w:w="3194" w:type="pct"/>
            <w:vAlign w:val="center"/>
          </w:tcPr>
          <w:p w14:paraId="4C10A656" w14:textId="2A94F299" w:rsidR="001F48EE" w:rsidRPr="00E26B24" w:rsidRDefault="001F48EE" w:rsidP="009F6261">
            <w:r w:rsidRPr="00F84C79">
              <w:t>v.1.</w:t>
            </w:r>
            <w:r w:rsidR="002966A2">
              <w:t>1</w:t>
            </w:r>
          </w:p>
        </w:tc>
      </w:tr>
    </w:tbl>
    <w:p w14:paraId="248AC59F" w14:textId="77777777" w:rsidR="001F48EE" w:rsidRDefault="001F48EE" w:rsidP="001F48EE"/>
    <w:sectPr w:rsidR="001F48E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6730" w14:textId="77777777" w:rsidR="00C77F29" w:rsidRDefault="00C77F29" w:rsidP="00CB2FF6">
      <w:r>
        <w:separator/>
      </w:r>
    </w:p>
  </w:endnote>
  <w:endnote w:type="continuationSeparator" w:id="0">
    <w:p w14:paraId="0C97B0C1" w14:textId="77777777" w:rsidR="00C77F29" w:rsidRDefault="00C77F29"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6526" w14:textId="240DFC35" w:rsidR="00CB2FF6" w:rsidRPr="00A356A6" w:rsidRDefault="001F48EE" w:rsidP="00A356A6">
    <w:pPr>
      <w:pBdr>
        <w:top w:val="nil"/>
        <w:left w:val="nil"/>
        <w:bottom w:val="nil"/>
        <w:right w:val="nil"/>
        <w:between w:val="nil"/>
      </w:pBdr>
      <w:tabs>
        <w:tab w:val="center" w:pos="4513"/>
        <w:tab w:val="right" w:pos="9026"/>
      </w:tabs>
      <w:rPr>
        <w:color w:val="000000"/>
        <w:sz w:val="16"/>
        <w:szCs w:val="16"/>
      </w:rPr>
    </w:pPr>
    <w:r>
      <w:rPr>
        <w:color w:val="000000"/>
        <w:sz w:val="16"/>
        <w:szCs w:val="16"/>
      </w:rPr>
      <w:t>Service Agreement</w:t>
    </w:r>
    <w:r w:rsidR="00291189">
      <w:rPr>
        <w:color w:val="000000"/>
        <w:sz w:val="16"/>
        <w:szCs w:val="16"/>
      </w:rPr>
      <w:t>s with Participants</w:t>
    </w:r>
    <w:r>
      <w:rPr>
        <w:color w:val="000000"/>
        <w:sz w:val="16"/>
        <w:szCs w:val="16"/>
      </w:rPr>
      <w:t xml:space="preserve"> Policy and Procedure</w:t>
    </w:r>
    <w:r w:rsidR="00A356A6">
      <w:rPr>
        <w:color w:val="000000"/>
        <w:sz w:val="16"/>
        <w:szCs w:val="16"/>
      </w:rPr>
      <w:t xml:space="preserve"> v1.</w:t>
    </w:r>
    <w:r w:rsidR="00746CCE">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71B6" w14:textId="77777777" w:rsidR="00C77F29" w:rsidRDefault="00C77F29" w:rsidP="00CB2FF6">
      <w:r>
        <w:separator/>
      </w:r>
    </w:p>
  </w:footnote>
  <w:footnote w:type="continuationSeparator" w:id="0">
    <w:p w14:paraId="7301402A" w14:textId="77777777" w:rsidR="00C77F29" w:rsidRDefault="00C77F29"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5411" w14:textId="01589AB5" w:rsidR="005E00E2" w:rsidRDefault="005E00E2" w:rsidP="00937DFE">
    <w:pPr>
      <w:pStyle w:val="Header"/>
    </w:pPr>
    <w:r>
      <w:rPr>
        <w:noProof/>
      </w:rPr>
      <w:drawing>
        <wp:anchor distT="0" distB="0" distL="114300" distR="114300" simplePos="0" relativeHeight="251658240" behindDoc="0" locked="0" layoutInCell="1" allowOverlap="1" wp14:anchorId="4B841019" wp14:editId="7ED5CB94">
          <wp:simplePos x="0" y="0"/>
          <wp:positionH relativeFrom="column">
            <wp:posOffset>4781861</wp:posOffset>
          </wp:positionH>
          <wp:positionV relativeFrom="paragraph">
            <wp:posOffset>-202242</wp:posOffset>
          </wp:positionV>
          <wp:extent cx="1486955" cy="561777"/>
          <wp:effectExtent l="0" t="0" r="0" b="0"/>
          <wp:wrapNone/>
          <wp:docPr id="1" name="Picture 1" descr="https://app-dp-private.s3.amazonaws.com/temp/c4da5d1f-6a32-4b99-bc66-9e30b7ec0b68.png?AWSAccessKeyId=AKIA3LAUV7E3YX4ESOVH&amp;Signature=m0PScZ1YlIGjsKLs38oAQ0dbM7s%3D&amp;Expires=174987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3048" b="29171"/>
                  <a:stretch/>
                </pic:blipFill>
                <pic:spPr bwMode="auto">
                  <a:xfrm>
                    <a:off x="0" y="0"/>
                    <a:ext cx="1521569" cy="5748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DFE">
      <w:t xml:space="preserve">405 Upper Heidelberg Road, </w:t>
    </w:r>
  </w:p>
  <w:p w14:paraId="5E31A02B" w14:textId="354D5A03" w:rsidR="00937DFE" w:rsidRDefault="00937DFE" w:rsidP="00937DFE">
    <w:pPr>
      <w:pStyle w:val="Header"/>
    </w:pPr>
    <w:r>
      <w:t>Ivanhoe 3079</w:t>
    </w:r>
  </w:p>
  <w:p w14:paraId="3D85DFE6" w14:textId="77777777" w:rsidR="00CB2FF6" w:rsidRDefault="00CB2FF6" w:rsidP="005E0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C3D"/>
    <w:multiLevelType w:val="multilevel"/>
    <w:tmpl w:val="1FAE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7137"/>
    <w:multiLevelType w:val="hybridMultilevel"/>
    <w:tmpl w:val="461C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50A0E"/>
    <w:multiLevelType w:val="hybridMultilevel"/>
    <w:tmpl w:val="F8DC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E4F99"/>
    <w:multiLevelType w:val="multilevel"/>
    <w:tmpl w:val="DB64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E5F71"/>
    <w:multiLevelType w:val="hybridMultilevel"/>
    <w:tmpl w:val="97B8D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2099B"/>
    <w:multiLevelType w:val="multilevel"/>
    <w:tmpl w:val="49082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E7C5A"/>
    <w:multiLevelType w:val="multilevel"/>
    <w:tmpl w:val="A0C6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758E1"/>
    <w:multiLevelType w:val="hybridMultilevel"/>
    <w:tmpl w:val="DE54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D6E0B"/>
    <w:multiLevelType w:val="hybridMultilevel"/>
    <w:tmpl w:val="E8BE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557FE"/>
    <w:multiLevelType w:val="hybridMultilevel"/>
    <w:tmpl w:val="92BC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76138"/>
    <w:multiLevelType w:val="multilevel"/>
    <w:tmpl w:val="C9BA6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C9634E"/>
    <w:multiLevelType w:val="hybridMultilevel"/>
    <w:tmpl w:val="FA42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B43E9"/>
    <w:multiLevelType w:val="hybridMultilevel"/>
    <w:tmpl w:val="BFEC61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9168635">
    <w:abstractNumId w:val="11"/>
  </w:num>
  <w:num w:numId="2" w16cid:durableId="425880192">
    <w:abstractNumId w:val="12"/>
  </w:num>
  <w:num w:numId="3" w16cid:durableId="1727559294">
    <w:abstractNumId w:val="4"/>
  </w:num>
  <w:num w:numId="4" w16cid:durableId="2119720036">
    <w:abstractNumId w:val="2"/>
  </w:num>
  <w:num w:numId="5" w16cid:durableId="1289124999">
    <w:abstractNumId w:val="14"/>
  </w:num>
  <w:num w:numId="6" w16cid:durableId="957879170">
    <w:abstractNumId w:val="7"/>
  </w:num>
  <w:num w:numId="7" w16cid:durableId="1783721196">
    <w:abstractNumId w:val="8"/>
  </w:num>
  <w:num w:numId="8" w16cid:durableId="908421475">
    <w:abstractNumId w:val="9"/>
  </w:num>
  <w:num w:numId="9" w16cid:durableId="1029987578">
    <w:abstractNumId w:val="1"/>
  </w:num>
  <w:num w:numId="10" w16cid:durableId="859659901">
    <w:abstractNumId w:val="13"/>
  </w:num>
  <w:num w:numId="11" w16cid:durableId="184946743">
    <w:abstractNumId w:val="3"/>
  </w:num>
  <w:num w:numId="12" w16cid:durableId="843474676">
    <w:abstractNumId w:val="10"/>
  </w:num>
  <w:num w:numId="13" w16cid:durableId="1944529766">
    <w:abstractNumId w:val="5"/>
  </w:num>
  <w:num w:numId="14" w16cid:durableId="1988513616">
    <w:abstractNumId w:val="6"/>
  </w:num>
  <w:num w:numId="15" w16cid:durableId="124363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1617D7"/>
    <w:rsid w:val="00167303"/>
    <w:rsid w:val="001759B8"/>
    <w:rsid w:val="001B7FA6"/>
    <w:rsid w:val="001F48EE"/>
    <w:rsid w:val="001F61C3"/>
    <w:rsid w:val="00230D5E"/>
    <w:rsid w:val="00291189"/>
    <w:rsid w:val="002966A2"/>
    <w:rsid w:val="00301675"/>
    <w:rsid w:val="003B0BDA"/>
    <w:rsid w:val="004045F9"/>
    <w:rsid w:val="004A2DCB"/>
    <w:rsid w:val="004F72C6"/>
    <w:rsid w:val="00526D20"/>
    <w:rsid w:val="005C6059"/>
    <w:rsid w:val="005E00E2"/>
    <w:rsid w:val="00671D7E"/>
    <w:rsid w:val="006E46EE"/>
    <w:rsid w:val="00746CCE"/>
    <w:rsid w:val="00837276"/>
    <w:rsid w:val="00937DFE"/>
    <w:rsid w:val="00945D98"/>
    <w:rsid w:val="009C70C0"/>
    <w:rsid w:val="009E1CB3"/>
    <w:rsid w:val="00A356A6"/>
    <w:rsid w:val="00AA1506"/>
    <w:rsid w:val="00AA2C24"/>
    <w:rsid w:val="00AA3AFD"/>
    <w:rsid w:val="00B47536"/>
    <w:rsid w:val="00B71F18"/>
    <w:rsid w:val="00BB0C6E"/>
    <w:rsid w:val="00BE2550"/>
    <w:rsid w:val="00BE2CE7"/>
    <w:rsid w:val="00BF52B0"/>
    <w:rsid w:val="00C77F29"/>
    <w:rsid w:val="00CB2FF6"/>
    <w:rsid w:val="00CD2947"/>
    <w:rsid w:val="00CF3550"/>
    <w:rsid w:val="00D60A6B"/>
    <w:rsid w:val="00DF61CA"/>
    <w:rsid w:val="00E871FF"/>
    <w:rsid w:val="00EF3014"/>
    <w:rsid w:val="00F24C47"/>
    <w:rsid w:val="00F2680E"/>
    <w:rsid w:val="00F61271"/>
    <w:rsid w:val="00F80F35"/>
    <w:rsid w:val="00F84C79"/>
    <w:rsid w:val="00FA00B3"/>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49D60"/>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8EE"/>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1F48EE"/>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746CC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1F48E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F48EE"/>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1F48E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8EE"/>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1F48EE"/>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1F48EE"/>
    <w:rPr>
      <w:kern w:val="0"/>
      <w14:ligatures w14:val="none"/>
    </w:rPr>
  </w:style>
  <w:style w:type="character" w:styleId="UnresolvedMention">
    <w:name w:val="Unresolved Mention"/>
    <w:basedOn w:val="DefaultParagraphFont"/>
    <w:uiPriority w:val="99"/>
    <w:semiHidden/>
    <w:unhideWhenUsed/>
    <w:rsid w:val="001F48EE"/>
    <w:rPr>
      <w:color w:val="605E5C"/>
      <w:shd w:val="clear" w:color="auto" w:fill="E1DFDD"/>
    </w:rPr>
  </w:style>
  <w:style w:type="character" w:customStyle="1" w:styleId="Heading3Char">
    <w:name w:val="Heading 3 Char"/>
    <w:basedOn w:val="DefaultParagraphFont"/>
    <w:link w:val="Heading3"/>
    <w:uiPriority w:val="9"/>
    <w:semiHidden/>
    <w:rsid w:val="00746CC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dis.gov.au/providers/pricing-arrang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1530</Words>
  <Characters>8985</Characters>
  <Application>Microsoft Office Word</Application>
  <DocSecurity>0</DocSecurity>
  <Lines>230</Lines>
  <Paragraphs>131</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10384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5</cp:revision>
  <dcterms:created xsi:type="dcterms:W3CDTF">2025-12-03T23:57:00Z</dcterms:created>
  <dcterms:modified xsi:type="dcterms:W3CDTF">2025-12-09T07:25:00Z</dcterms:modified>
  <cp:category>NDIS</cp:category>
</cp:coreProperties>
</file>