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58F99" w14:textId="77777777" w:rsidR="00025B2F" w:rsidRPr="005047A7" w:rsidRDefault="00025B2F" w:rsidP="00025B2F">
      <w:pPr>
        <w:jc w:val="center"/>
        <w:rPr>
          <w:b/>
          <w:bCs/>
          <w:sz w:val="32"/>
          <w:szCs w:val="32"/>
        </w:rPr>
      </w:pPr>
      <w:bookmarkStart w:id="0" w:name="_Toc157441944"/>
      <w:r w:rsidRPr="005047A7">
        <w:rPr>
          <w:b/>
          <w:bCs/>
          <w:sz w:val="32"/>
          <w:szCs w:val="32"/>
        </w:rPr>
        <w:t>TRANSITION TO OR FROM A PROVIDER POLICY AND PROCEDURE</w:t>
      </w:r>
      <w:bookmarkEnd w:id="0"/>
    </w:p>
    <w:p w14:paraId="07D29FFA" w14:textId="77777777" w:rsidR="00025B2F" w:rsidRPr="005047A7" w:rsidRDefault="00025B2F" w:rsidP="00025B2F"/>
    <w:p w14:paraId="364FE08F" w14:textId="77777777" w:rsidR="00025B2F" w:rsidRPr="005047A7" w:rsidRDefault="00025B2F" w:rsidP="00025B2F">
      <w:pPr>
        <w:rPr>
          <w:b/>
          <w:bCs/>
          <w:sz w:val="28"/>
          <w:szCs w:val="28"/>
        </w:rPr>
      </w:pPr>
      <w:bookmarkStart w:id="1" w:name="_Toc157441945"/>
      <w:r w:rsidRPr="005047A7">
        <w:rPr>
          <w:b/>
          <w:bCs/>
          <w:sz w:val="28"/>
          <w:szCs w:val="28"/>
        </w:rPr>
        <w:t>PURPOSE</w:t>
      </w:r>
      <w:bookmarkEnd w:id="1"/>
    </w:p>
    <w:p w14:paraId="3166A445" w14:textId="77777777" w:rsidR="00025B2F" w:rsidRPr="005047A7" w:rsidRDefault="00025B2F" w:rsidP="00025B2F"/>
    <w:p w14:paraId="49B8A822" w14:textId="77777777" w:rsidR="0086377F" w:rsidRPr="005047A7" w:rsidRDefault="0086377F" w:rsidP="0086377F">
      <w:r w:rsidRPr="005047A7">
        <w:t>Transitions of care are crucial for enhancing medication safety and reducing preventable harm. When moving between different healthcare settings, unclear communication about a participant’s health needs and treatments can elevate the risk of harm.</w:t>
      </w:r>
    </w:p>
    <w:p w14:paraId="4C16FB9D" w14:textId="77777777" w:rsidR="0086377F" w:rsidRPr="005047A7" w:rsidRDefault="0086377F" w:rsidP="0086377F"/>
    <w:p w14:paraId="28BF9904" w14:textId="77777777" w:rsidR="0086377F" w:rsidRPr="005047A7" w:rsidRDefault="008E5C4B" w:rsidP="0086377F">
      <w:r w:rsidRPr="005047A7">
        <w:t>Clear communication and coordination among the participants, their caregivers, healthcare providers, and disability support services are essential to ensure safe transitions. Effective communication and coordination between these entities help</w:t>
      </w:r>
      <w:r w:rsidR="0086377F" w:rsidRPr="005047A7">
        <w:t xml:space="preserve"> ensure that important information regarding the person's health needs, potential risks, and ongoing treatments is accurately conveyed and preserved during transitions.</w:t>
      </w:r>
    </w:p>
    <w:p w14:paraId="595E0645" w14:textId="77777777" w:rsidR="00E86527" w:rsidRPr="005047A7" w:rsidRDefault="00E86527" w:rsidP="00E86527"/>
    <w:p w14:paraId="07235A6A" w14:textId="43DCF7C5" w:rsidR="00025B2F" w:rsidRPr="005047A7" w:rsidRDefault="008E5C4B" w:rsidP="00025B2F">
      <w:r w:rsidRPr="005047A7">
        <w:t xml:space="preserve">The purpose of this policy is to define the required assistance and support to assist the participant in transitioning to or from </w:t>
      </w:r>
      <w:r w:rsidR="00264C66">
        <w:t>AmeCare</w:t>
      </w:r>
      <w:r w:rsidRPr="005047A7">
        <w:t xml:space="preserve"> services.</w:t>
      </w:r>
    </w:p>
    <w:p w14:paraId="725043B6" w14:textId="77777777" w:rsidR="008E5C4B" w:rsidRPr="005047A7" w:rsidRDefault="008E5C4B" w:rsidP="00025B2F"/>
    <w:p w14:paraId="0C428798" w14:textId="77777777" w:rsidR="00025B2F" w:rsidRPr="005047A7" w:rsidRDefault="00025B2F" w:rsidP="00025B2F">
      <w:pPr>
        <w:rPr>
          <w:b/>
          <w:bCs/>
          <w:sz w:val="28"/>
          <w:szCs w:val="28"/>
        </w:rPr>
      </w:pPr>
      <w:bookmarkStart w:id="2" w:name="_Toc157441946"/>
      <w:r w:rsidRPr="005047A7">
        <w:rPr>
          <w:b/>
          <w:bCs/>
          <w:sz w:val="28"/>
          <w:szCs w:val="28"/>
        </w:rPr>
        <w:t>SCOPE</w:t>
      </w:r>
      <w:bookmarkEnd w:id="2"/>
    </w:p>
    <w:p w14:paraId="6F588A0A" w14:textId="77777777" w:rsidR="00025B2F" w:rsidRPr="005047A7" w:rsidRDefault="00025B2F" w:rsidP="00025B2F"/>
    <w:p w14:paraId="32B487D6" w14:textId="77777777" w:rsidR="00025B2F" w:rsidRPr="005047A7" w:rsidRDefault="00025B2F" w:rsidP="00025B2F">
      <w:r w:rsidRPr="005047A7">
        <w:t>This policy applies to:</w:t>
      </w:r>
    </w:p>
    <w:p w14:paraId="52CBED4A" w14:textId="37DA785A" w:rsidR="00025B2F" w:rsidRPr="005047A7" w:rsidRDefault="00025B2F" w:rsidP="00025B2F">
      <w:pPr>
        <w:pStyle w:val="ListParagraph"/>
        <w:numPr>
          <w:ilvl w:val="0"/>
          <w:numId w:val="1"/>
        </w:numPr>
      </w:pPr>
      <w:r w:rsidRPr="005047A7">
        <w:t xml:space="preserve">All </w:t>
      </w:r>
      <w:r w:rsidR="00264C66">
        <w:t>AmeCare</w:t>
      </w:r>
      <w:r w:rsidRPr="005047A7">
        <w:t xml:space="preserve"> staff, including permanent or casual employees, contractors, consultants, and people otherwise engaged by </w:t>
      </w:r>
      <w:r w:rsidR="00264C66">
        <w:t>AmeCare</w:t>
      </w:r>
      <w:r w:rsidRPr="005047A7">
        <w:t xml:space="preserve"> (e.g., volunteers).</w:t>
      </w:r>
    </w:p>
    <w:p w14:paraId="745B13D6" w14:textId="77777777" w:rsidR="00025B2F" w:rsidRPr="005047A7" w:rsidRDefault="00025B2F" w:rsidP="00025B2F">
      <w:pPr>
        <w:pStyle w:val="ListParagraph"/>
        <w:numPr>
          <w:ilvl w:val="0"/>
          <w:numId w:val="1"/>
        </w:numPr>
      </w:pPr>
      <w:r w:rsidRPr="005047A7">
        <w:t>All participants receiving NDIS services and support, including their families and support network.</w:t>
      </w:r>
    </w:p>
    <w:p w14:paraId="6514DE6B" w14:textId="77777777" w:rsidR="00025B2F" w:rsidRPr="005047A7" w:rsidRDefault="00025B2F" w:rsidP="00025B2F"/>
    <w:p w14:paraId="6CA59B71" w14:textId="77777777" w:rsidR="00025B2F" w:rsidRPr="005047A7" w:rsidRDefault="00025B2F" w:rsidP="00025B2F">
      <w:pPr>
        <w:rPr>
          <w:b/>
          <w:bCs/>
          <w:sz w:val="28"/>
          <w:szCs w:val="28"/>
        </w:rPr>
      </w:pPr>
      <w:bookmarkStart w:id="3" w:name="_Toc157441947"/>
      <w:r w:rsidRPr="005047A7">
        <w:rPr>
          <w:b/>
          <w:bCs/>
          <w:sz w:val="28"/>
          <w:szCs w:val="28"/>
        </w:rPr>
        <w:t>DEFINITIONS</w:t>
      </w:r>
      <w:bookmarkEnd w:id="3"/>
    </w:p>
    <w:p w14:paraId="28491F76" w14:textId="77777777" w:rsidR="00025B2F" w:rsidRPr="005047A7" w:rsidRDefault="00025B2F" w:rsidP="00025B2F"/>
    <w:tbl>
      <w:tblPr>
        <w:tblStyle w:val="TableGrid"/>
        <w:tblW w:w="0" w:type="auto"/>
        <w:tblLook w:val="04A0" w:firstRow="1" w:lastRow="0" w:firstColumn="1" w:lastColumn="0" w:noHBand="0" w:noVBand="1"/>
      </w:tblPr>
      <w:tblGrid>
        <w:gridCol w:w="1555"/>
        <w:gridCol w:w="7461"/>
      </w:tblGrid>
      <w:tr w:rsidR="00025B2F" w:rsidRPr="005047A7" w14:paraId="684C7788" w14:textId="77777777" w:rsidTr="00E86527">
        <w:trPr>
          <w:trHeight w:val="340"/>
        </w:trPr>
        <w:tc>
          <w:tcPr>
            <w:tcW w:w="1555" w:type="dxa"/>
            <w:shd w:val="clear" w:color="auto" w:fill="E7E6E6" w:themeFill="background2"/>
          </w:tcPr>
          <w:p w14:paraId="1848AA71" w14:textId="77777777" w:rsidR="00025B2F" w:rsidRPr="005047A7" w:rsidRDefault="00025B2F" w:rsidP="005461B9">
            <w:pPr>
              <w:rPr>
                <w:b/>
                <w:bCs/>
              </w:rPr>
            </w:pPr>
            <w:r w:rsidRPr="005047A7">
              <w:rPr>
                <w:b/>
                <w:bCs/>
              </w:rPr>
              <w:t>Term</w:t>
            </w:r>
          </w:p>
        </w:tc>
        <w:tc>
          <w:tcPr>
            <w:tcW w:w="7461" w:type="dxa"/>
            <w:shd w:val="clear" w:color="auto" w:fill="E7E6E6" w:themeFill="background2"/>
          </w:tcPr>
          <w:p w14:paraId="36BF69D9" w14:textId="77777777" w:rsidR="00025B2F" w:rsidRPr="005047A7" w:rsidRDefault="00025B2F" w:rsidP="005461B9">
            <w:pPr>
              <w:rPr>
                <w:b/>
                <w:bCs/>
              </w:rPr>
            </w:pPr>
            <w:r w:rsidRPr="005047A7">
              <w:rPr>
                <w:b/>
                <w:bCs/>
              </w:rPr>
              <w:t>Definition</w:t>
            </w:r>
          </w:p>
        </w:tc>
      </w:tr>
      <w:tr w:rsidR="00025B2F" w:rsidRPr="005047A7" w14:paraId="66EDA10C" w14:textId="77777777" w:rsidTr="00E86527">
        <w:trPr>
          <w:trHeight w:val="340"/>
        </w:trPr>
        <w:tc>
          <w:tcPr>
            <w:tcW w:w="1555" w:type="dxa"/>
          </w:tcPr>
          <w:p w14:paraId="5892841B" w14:textId="77777777" w:rsidR="00025B2F" w:rsidRPr="005047A7" w:rsidRDefault="00025B2F" w:rsidP="005461B9">
            <w:pPr>
              <w:rPr>
                <w:b/>
                <w:bCs/>
              </w:rPr>
            </w:pPr>
            <w:r w:rsidRPr="005047A7">
              <w:rPr>
                <w:b/>
                <w:bCs/>
              </w:rPr>
              <w:t>Transition</w:t>
            </w:r>
          </w:p>
        </w:tc>
        <w:tc>
          <w:tcPr>
            <w:tcW w:w="7461" w:type="dxa"/>
          </w:tcPr>
          <w:p w14:paraId="07E2E8A3" w14:textId="77777777" w:rsidR="00E86527" w:rsidRPr="005047A7" w:rsidRDefault="00025B2F" w:rsidP="00E86527">
            <w:pPr>
              <w:rPr>
                <w:rFonts w:cstheme="minorHAnsi"/>
              </w:rPr>
            </w:pPr>
            <w:r w:rsidRPr="005047A7">
              <w:rPr>
                <w:rFonts w:cstheme="minorHAnsi"/>
              </w:rPr>
              <w:t>Means the support provided to the participant transitioning from or to a provider.</w:t>
            </w:r>
            <w:r w:rsidR="00E86527" w:rsidRPr="005047A7">
              <w:rPr>
                <w:rFonts w:cstheme="minorHAnsi"/>
              </w:rPr>
              <w:t xml:space="preserve"> </w:t>
            </w:r>
          </w:p>
          <w:p w14:paraId="27036D1D" w14:textId="77777777" w:rsidR="00E86527" w:rsidRPr="005047A7" w:rsidRDefault="00E86527" w:rsidP="00E86527">
            <w:pPr>
              <w:rPr>
                <w:rFonts w:cstheme="minorHAnsi"/>
              </w:rPr>
            </w:pPr>
          </w:p>
          <w:p w14:paraId="497DB858" w14:textId="77777777" w:rsidR="00E86527" w:rsidRPr="005047A7" w:rsidRDefault="00E86527" w:rsidP="00E86527">
            <w:r w:rsidRPr="005047A7">
              <w:t>Transitions of care may include any of the following scenarios:</w:t>
            </w:r>
          </w:p>
          <w:p w14:paraId="7715D464" w14:textId="77777777" w:rsidR="00E86527" w:rsidRPr="005047A7" w:rsidRDefault="00E86527" w:rsidP="00E86527">
            <w:pPr>
              <w:pStyle w:val="ListParagraph"/>
              <w:numPr>
                <w:ilvl w:val="0"/>
                <w:numId w:val="7"/>
              </w:numPr>
            </w:pPr>
            <w:r w:rsidRPr="005047A7">
              <w:t>Moving from home or supported accommodation to a hospital</w:t>
            </w:r>
          </w:p>
          <w:p w14:paraId="1B820B06" w14:textId="77777777" w:rsidR="00025B2F" w:rsidRPr="005047A7" w:rsidRDefault="00E86527" w:rsidP="005461B9">
            <w:pPr>
              <w:pStyle w:val="ListParagraph"/>
              <w:numPr>
                <w:ilvl w:val="0"/>
                <w:numId w:val="7"/>
              </w:numPr>
            </w:pPr>
            <w:r w:rsidRPr="005047A7">
              <w:t>Returning home or to supported accommodation after leaving the hospital</w:t>
            </w:r>
          </w:p>
        </w:tc>
      </w:tr>
      <w:tr w:rsidR="00025B2F" w:rsidRPr="005047A7" w14:paraId="1BEF8D98" w14:textId="77777777" w:rsidTr="00E86527">
        <w:trPr>
          <w:trHeight w:val="340"/>
        </w:trPr>
        <w:tc>
          <w:tcPr>
            <w:tcW w:w="1555" w:type="dxa"/>
          </w:tcPr>
          <w:p w14:paraId="45482838" w14:textId="77777777" w:rsidR="00025B2F" w:rsidRPr="005047A7" w:rsidRDefault="00025B2F" w:rsidP="005461B9">
            <w:pPr>
              <w:rPr>
                <w:b/>
                <w:bCs/>
              </w:rPr>
            </w:pPr>
            <w:r w:rsidRPr="005047A7">
              <w:rPr>
                <w:b/>
                <w:bCs/>
              </w:rPr>
              <w:t>Exit</w:t>
            </w:r>
          </w:p>
        </w:tc>
        <w:tc>
          <w:tcPr>
            <w:tcW w:w="7461" w:type="dxa"/>
          </w:tcPr>
          <w:p w14:paraId="7C3BC488" w14:textId="07C80444" w:rsidR="00025B2F" w:rsidRPr="005047A7" w:rsidRDefault="00025B2F" w:rsidP="005461B9">
            <w:pPr>
              <w:rPr>
                <w:rFonts w:cstheme="minorHAnsi"/>
              </w:rPr>
            </w:pPr>
            <w:r w:rsidRPr="005047A7">
              <w:rPr>
                <w:rFonts w:cstheme="minorHAnsi"/>
              </w:rPr>
              <w:t xml:space="preserve">Means the process undertaken when participants decide to leave or transition out of </w:t>
            </w:r>
            <w:r w:rsidR="00264C66">
              <w:t>AmeCare</w:t>
            </w:r>
            <w:r w:rsidRPr="005047A7">
              <w:t xml:space="preserve"> </w:t>
            </w:r>
            <w:r w:rsidRPr="005047A7">
              <w:rPr>
                <w:rFonts w:cstheme="minorHAnsi"/>
              </w:rPr>
              <w:t>services.</w:t>
            </w:r>
          </w:p>
        </w:tc>
      </w:tr>
      <w:tr w:rsidR="00D33CC6" w:rsidRPr="005047A7" w14:paraId="53A73FDA" w14:textId="77777777" w:rsidTr="00E86527">
        <w:trPr>
          <w:trHeight w:val="340"/>
        </w:trPr>
        <w:tc>
          <w:tcPr>
            <w:tcW w:w="1555" w:type="dxa"/>
          </w:tcPr>
          <w:p w14:paraId="6EC0CCB1" w14:textId="743FCA9C" w:rsidR="00D33CC6" w:rsidRPr="005047A7" w:rsidRDefault="00A100C6" w:rsidP="005461B9">
            <w:pPr>
              <w:rPr>
                <w:b/>
                <w:bCs/>
              </w:rPr>
            </w:pPr>
            <w:r>
              <w:rPr>
                <w:b/>
                <w:bCs/>
              </w:rPr>
              <w:t>Participant Service Exit Checklist</w:t>
            </w:r>
          </w:p>
        </w:tc>
        <w:tc>
          <w:tcPr>
            <w:tcW w:w="7461" w:type="dxa"/>
          </w:tcPr>
          <w:p w14:paraId="75799071" w14:textId="4E4CB4A3" w:rsidR="00D33CC6" w:rsidRPr="005047A7" w:rsidRDefault="00A100C6" w:rsidP="005461B9">
            <w:pPr>
              <w:rPr>
                <w:rFonts w:cstheme="minorHAnsi"/>
              </w:rPr>
            </w:pPr>
            <w:r w:rsidRPr="00D81C88">
              <w:rPr>
                <w:rFonts w:cstheme="minorHAnsi"/>
              </w:rPr>
              <w:t>A structured checklist used to ensure all necessary steps are completed when a participant exits AmeCare services. It includes tasks such as finalizing documentation, returning property, closing service agreements, and collecting feedback. The checklist helps maintain consistency and compliance during the exit process</w:t>
            </w:r>
          </w:p>
        </w:tc>
      </w:tr>
      <w:tr w:rsidR="00D33CC6" w:rsidRPr="005047A7" w14:paraId="6AA62ECC" w14:textId="77777777" w:rsidTr="00E86527">
        <w:trPr>
          <w:trHeight w:val="340"/>
        </w:trPr>
        <w:tc>
          <w:tcPr>
            <w:tcW w:w="1555" w:type="dxa"/>
          </w:tcPr>
          <w:p w14:paraId="59182B62" w14:textId="257DB5AD" w:rsidR="00D33CC6" w:rsidRPr="005047A7" w:rsidRDefault="004368DB" w:rsidP="005461B9">
            <w:pPr>
              <w:rPr>
                <w:b/>
                <w:bCs/>
              </w:rPr>
            </w:pPr>
            <w:r>
              <w:rPr>
                <w:b/>
                <w:bCs/>
              </w:rPr>
              <w:t xml:space="preserve">Brevity Profile </w:t>
            </w:r>
          </w:p>
        </w:tc>
        <w:tc>
          <w:tcPr>
            <w:tcW w:w="7461" w:type="dxa"/>
          </w:tcPr>
          <w:p w14:paraId="0F4524EC" w14:textId="62AF7387" w:rsidR="00D33CC6" w:rsidRPr="005047A7" w:rsidRDefault="004368DB" w:rsidP="005461B9">
            <w:pPr>
              <w:rPr>
                <w:rFonts w:cstheme="minorHAnsi"/>
              </w:rPr>
            </w:pPr>
            <w:r w:rsidRPr="00D81C88">
              <w:rPr>
                <w:rFonts w:cstheme="minorHAnsi"/>
              </w:rPr>
              <w:t xml:space="preserve">The participant’s digital profile within the Brevity system, which stores key documents, support plans, risk assessments, and records of service </w:t>
            </w:r>
            <w:r w:rsidRPr="00D81C88">
              <w:rPr>
                <w:rFonts w:cstheme="minorHAnsi"/>
              </w:rPr>
              <w:lastRenderedPageBreak/>
              <w:t>delivery. The Brevity Profile is used to track participant progress and maintain up-to-date information for care coordination and compliance.</w:t>
            </w:r>
          </w:p>
        </w:tc>
      </w:tr>
      <w:tr w:rsidR="00D33CC6" w:rsidRPr="005047A7" w14:paraId="50558405" w14:textId="77777777" w:rsidTr="00E86527">
        <w:trPr>
          <w:trHeight w:val="340"/>
        </w:trPr>
        <w:tc>
          <w:tcPr>
            <w:tcW w:w="1555" w:type="dxa"/>
          </w:tcPr>
          <w:p w14:paraId="12283F9D" w14:textId="689F5188" w:rsidR="00D33CC6" w:rsidRPr="005047A7" w:rsidRDefault="00C357C1" w:rsidP="005461B9">
            <w:pPr>
              <w:rPr>
                <w:b/>
                <w:bCs/>
              </w:rPr>
            </w:pPr>
            <w:r>
              <w:rPr>
                <w:b/>
                <w:bCs/>
              </w:rPr>
              <w:lastRenderedPageBreak/>
              <w:t>Support Plan</w:t>
            </w:r>
          </w:p>
        </w:tc>
        <w:tc>
          <w:tcPr>
            <w:tcW w:w="7461" w:type="dxa"/>
          </w:tcPr>
          <w:p w14:paraId="2D1D1904" w14:textId="092AA1C7" w:rsidR="00D33CC6" w:rsidRPr="005047A7" w:rsidRDefault="00C357C1" w:rsidP="005461B9">
            <w:pPr>
              <w:rPr>
                <w:rFonts w:cstheme="minorHAnsi"/>
              </w:rPr>
            </w:pPr>
            <w:r w:rsidRPr="00D81C88">
              <w:rPr>
                <w:rFonts w:cstheme="minorHAnsi"/>
              </w:rPr>
              <w:t>A personalized document outlining the participant’s goals, needs, supports, and arrangements. The Support Plan is regularly updated to reflect changes in the participant’s circumstances and is used to guide service delivery and transition planning.</w:t>
            </w:r>
          </w:p>
        </w:tc>
      </w:tr>
      <w:tr w:rsidR="00D33CC6" w:rsidRPr="005047A7" w14:paraId="1BD750C6" w14:textId="77777777" w:rsidTr="00E86527">
        <w:trPr>
          <w:trHeight w:val="340"/>
        </w:trPr>
        <w:tc>
          <w:tcPr>
            <w:tcW w:w="1555" w:type="dxa"/>
          </w:tcPr>
          <w:p w14:paraId="5826A182" w14:textId="4DFD8F20" w:rsidR="00D33CC6" w:rsidRPr="005047A7" w:rsidRDefault="002C33CE" w:rsidP="005461B9">
            <w:pPr>
              <w:rPr>
                <w:b/>
                <w:bCs/>
              </w:rPr>
            </w:pPr>
            <w:r>
              <w:rPr>
                <w:b/>
                <w:bCs/>
              </w:rPr>
              <w:t>Risk Assessment</w:t>
            </w:r>
          </w:p>
        </w:tc>
        <w:tc>
          <w:tcPr>
            <w:tcW w:w="7461" w:type="dxa"/>
          </w:tcPr>
          <w:p w14:paraId="5D0ECCE5" w14:textId="1C6916C6" w:rsidR="00D33CC6" w:rsidRPr="005047A7" w:rsidRDefault="002C33CE" w:rsidP="005461B9">
            <w:pPr>
              <w:rPr>
                <w:rFonts w:cstheme="minorHAnsi"/>
              </w:rPr>
            </w:pPr>
            <w:r w:rsidRPr="00D81C88">
              <w:rPr>
                <w:rFonts w:cstheme="minorHAnsi"/>
              </w:rPr>
              <w:t>A formal process for identifying, evaluating, and documenting risks associated with a participant’s transition to or from services. The risk assessment addresses environmental, behavioral, and health risks, and is recorded using the Individual Risk Assessment Form and/or the Participant Support Plan.</w:t>
            </w:r>
          </w:p>
        </w:tc>
      </w:tr>
      <w:tr w:rsidR="005C2F3F" w:rsidRPr="005047A7" w14:paraId="099054D6" w14:textId="77777777" w:rsidTr="00E86527">
        <w:trPr>
          <w:trHeight w:val="340"/>
        </w:trPr>
        <w:tc>
          <w:tcPr>
            <w:tcW w:w="1555" w:type="dxa"/>
          </w:tcPr>
          <w:p w14:paraId="7A7926BC" w14:textId="74E8831D" w:rsidR="005C2F3F" w:rsidRDefault="005C2F3F" w:rsidP="005461B9">
            <w:pPr>
              <w:rPr>
                <w:b/>
                <w:bCs/>
              </w:rPr>
            </w:pPr>
            <w:r>
              <w:rPr>
                <w:b/>
                <w:bCs/>
              </w:rPr>
              <w:t>Consent</w:t>
            </w:r>
          </w:p>
        </w:tc>
        <w:tc>
          <w:tcPr>
            <w:tcW w:w="7461" w:type="dxa"/>
          </w:tcPr>
          <w:p w14:paraId="14CFF901" w14:textId="0113556F" w:rsidR="005C2F3F" w:rsidRPr="00D81C88" w:rsidRDefault="005C2F3F" w:rsidP="005461B9">
            <w:pPr>
              <w:rPr>
                <w:rFonts w:cstheme="minorHAnsi"/>
              </w:rPr>
            </w:pPr>
            <w:r w:rsidRPr="00D81C88">
              <w:rPr>
                <w:rFonts w:cstheme="minorHAnsi"/>
              </w:rPr>
              <w:t>The documented agreement by the participant or their guardian/carer to share information, participate in meetings, or undertake specific actions during transitions. Consent must be obtained and recorded before any information is shared with external providers or stakeholders.</w:t>
            </w:r>
          </w:p>
        </w:tc>
      </w:tr>
    </w:tbl>
    <w:p w14:paraId="5017C12E" w14:textId="77777777" w:rsidR="00025B2F" w:rsidRPr="005047A7" w:rsidRDefault="00025B2F" w:rsidP="00025B2F"/>
    <w:p w14:paraId="2644DC98" w14:textId="77777777" w:rsidR="005C2F3F" w:rsidRDefault="005C2F3F" w:rsidP="00025B2F">
      <w:pPr>
        <w:rPr>
          <w:b/>
          <w:bCs/>
          <w:sz w:val="28"/>
          <w:szCs w:val="28"/>
        </w:rPr>
      </w:pPr>
      <w:bookmarkStart w:id="4" w:name="_Toc157441948"/>
    </w:p>
    <w:p w14:paraId="3A5AEE0F" w14:textId="6897E54E" w:rsidR="00025B2F" w:rsidRPr="005047A7" w:rsidRDefault="00025B2F" w:rsidP="00025B2F">
      <w:pPr>
        <w:rPr>
          <w:b/>
          <w:bCs/>
          <w:sz w:val="28"/>
          <w:szCs w:val="28"/>
        </w:rPr>
      </w:pPr>
      <w:r w:rsidRPr="005047A7">
        <w:rPr>
          <w:b/>
          <w:bCs/>
          <w:sz w:val="28"/>
          <w:szCs w:val="28"/>
        </w:rPr>
        <w:t>POLICY</w:t>
      </w:r>
      <w:bookmarkEnd w:id="4"/>
    </w:p>
    <w:p w14:paraId="4D6B81F3" w14:textId="77777777" w:rsidR="00025B2F" w:rsidRPr="005047A7" w:rsidRDefault="00025B2F" w:rsidP="00025B2F"/>
    <w:p w14:paraId="30653293" w14:textId="1CDC7BA2" w:rsidR="00025B2F" w:rsidRPr="005047A7" w:rsidRDefault="00264C66" w:rsidP="00025B2F">
      <w:r>
        <w:t>AmeCare</w:t>
      </w:r>
      <w:r w:rsidR="00025B2F" w:rsidRPr="005047A7">
        <w:t xml:space="preserve"> is committed to ensuring each participant experiences a planned and coordinated transition to or from the service.</w:t>
      </w:r>
    </w:p>
    <w:p w14:paraId="35520F70" w14:textId="77777777" w:rsidR="00025B2F" w:rsidRPr="005047A7" w:rsidRDefault="00025B2F" w:rsidP="00025B2F"/>
    <w:p w14:paraId="282713F4" w14:textId="2BEE51E7" w:rsidR="00025B2F" w:rsidRPr="005047A7" w:rsidRDefault="00025B2F" w:rsidP="00025B2F">
      <w:r w:rsidRPr="005047A7">
        <w:t xml:space="preserve">To achieve this commitment, </w:t>
      </w:r>
      <w:r w:rsidR="00264C66">
        <w:t>AmeCare</w:t>
      </w:r>
      <w:r w:rsidRPr="005047A7">
        <w:t xml:space="preserve"> will ensure the following:</w:t>
      </w:r>
    </w:p>
    <w:p w14:paraId="7E35506D" w14:textId="77777777" w:rsidR="00025B2F" w:rsidRPr="005047A7" w:rsidRDefault="00025B2F" w:rsidP="00025B2F">
      <w:pPr>
        <w:pStyle w:val="ListParagraph"/>
        <w:numPr>
          <w:ilvl w:val="0"/>
          <w:numId w:val="1"/>
        </w:numPr>
      </w:pPr>
      <w:r w:rsidRPr="005047A7">
        <w:t>A planned transition to or from the service is facilitated in collaboration with each participant when possible, and this is documented, communicated and effectively managed.</w:t>
      </w:r>
    </w:p>
    <w:p w14:paraId="5E5B6F2A" w14:textId="77777777" w:rsidR="00025B2F" w:rsidRPr="005047A7" w:rsidRDefault="00025B2F" w:rsidP="00025B2F">
      <w:pPr>
        <w:pStyle w:val="ListParagraph"/>
        <w:numPr>
          <w:ilvl w:val="0"/>
          <w:numId w:val="3"/>
        </w:numPr>
      </w:pPr>
      <w:r w:rsidRPr="005047A7">
        <w:t>Risks associated with each transition to or from the service are identified, documented and responded to, including risks associated with temporary transitions from the provider to respond to a risk to the participant, such as a healthcare risk requiring hospitalisation.</w:t>
      </w:r>
    </w:p>
    <w:p w14:paraId="74C48AFA" w14:textId="77777777" w:rsidR="00025B2F" w:rsidRPr="005047A7" w:rsidRDefault="00025B2F" w:rsidP="00025B2F">
      <w:pPr>
        <w:pStyle w:val="ListParagraph"/>
        <w:numPr>
          <w:ilvl w:val="0"/>
          <w:numId w:val="3"/>
        </w:numPr>
      </w:pPr>
      <w:r w:rsidRPr="005047A7">
        <w:t>Processes for transitioning to or from the service (including temporary transitions) are developed, applied, reviewed and communicated.</w:t>
      </w:r>
    </w:p>
    <w:p w14:paraId="3314882A" w14:textId="77777777" w:rsidR="00025B2F" w:rsidRPr="005047A7" w:rsidRDefault="00025B2F" w:rsidP="00025B2F">
      <w:pPr>
        <w:pStyle w:val="ListParagraph"/>
        <w:numPr>
          <w:ilvl w:val="0"/>
          <w:numId w:val="3"/>
        </w:numPr>
      </w:pPr>
      <w:r w:rsidRPr="005047A7">
        <w:t xml:space="preserve">Exit and transition procedures are fair, non-discriminatory, transparent and well-planned, and will follow the procedures and uphold the participant’s rights. </w:t>
      </w:r>
    </w:p>
    <w:p w14:paraId="35B88A1A" w14:textId="77777777" w:rsidR="00025B2F" w:rsidRPr="005047A7" w:rsidRDefault="00025B2F" w:rsidP="00025B2F">
      <w:pPr>
        <w:rPr>
          <w:color w:val="000000" w:themeColor="text1"/>
        </w:rPr>
      </w:pPr>
    </w:p>
    <w:p w14:paraId="0396CEEE" w14:textId="77777777" w:rsidR="00025B2F" w:rsidRPr="005047A7" w:rsidRDefault="00025B2F" w:rsidP="00025B2F">
      <w:pPr>
        <w:rPr>
          <w:b/>
          <w:bCs/>
          <w:color w:val="000000" w:themeColor="text1"/>
          <w:sz w:val="28"/>
          <w:szCs w:val="28"/>
        </w:rPr>
      </w:pPr>
      <w:bookmarkStart w:id="5" w:name="_Toc157441949"/>
      <w:r w:rsidRPr="005047A7">
        <w:rPr>
          <w:b/>
          <w:bCs/>
          <w:color w:val="000000" w:themeColor="text1"/>
          <w:sz w:val="28"/>
          <w:szCs w:val="28"/>
        </w:rPr>
        <w:t>PROCEDURE</w:t>
      </w:r>
      <w:bookmarkEnd w:id="5"/>
    </w:p>
    <w:p w14:paraId="4B8D3EE0" w14:textId="77777777" w:rsidR="00025B2F" w:rsidRPr="005047A7" w:rsidRDefault="00025B2F" w:rsidP="00025B2F">
      <w:pPr>
        <w:rPr>
          <w:color w:val="000000" w:themeColor="text1"/>
        </w:rPr>
      </w:pPr>
    </w:p>
    <w:p w14:paraId="04B1FCFB" w14:textId="62174506" w:rsidR="00025B2F" w:rsidRPr="005047A7" w:rsidRDefault="00025B2F" w:rsidP="00025B2F">
      <w:pPr>
        <w:rPr>
          <w:color w:val="000000" w:themeColor="text1"/>
        </w:rPr>
      </w:pPr>
      <w:r w:rsidRPr="005047A7">
        <w:rPr>
          <w:color w:val="000000" w:themeColor="text1"/>
        </w:rPr>
        <w:t xml:space="preserve">The following procedures are implemented to ensure that </w:t>
      </w:r>
      <w:r w:rsidR="00264C66">
        <w:t>AmeCare</w:t>
      </w:r>
      <w:r w:rsidRPr="005047A7">
        <w:t xml:space="preserve"> </w:t>
      </w:r>
      <w:r w:rsidRPr="005047A7">
        <w:rPr>
          <w:color w:val="000000" w:themeColor="text1"/>
        </w:rPr>
        <w:t>meets its policy objective of ensuring a smooth transition to and from a provider for the participant.</w:t>
      </w:r>
    </w:p>
    <w:p w14:paraId="3B42E859" w14:textId="77777777" w:rsidR="00025B2F" w:rsidRPr="005047A7" w:rsidRDefault="00025B2F" w:rsidP="00025B2F">
      <w:pPr>
        <w:rPr>
          <w:color w:val="000000" w:themeColor="text1"/>
        </w:rPr>
      </w:pPr>
    </w:p>
    <w:p w14:paraId="10D87CE5" w14:textId="77777777" w:rsidR="00E86527" w:rsidRPr="005047A7" w:rsidRDefault="00E86527" w:rsidP="00E86527">
      <w:pPr>
        <w:rPr>
          <w:b/>
          <w:bCs/>
          <w:color w:val="000000" w:themeColor="text1"/>
          <w:u w:val="single"/>
        </w:rPr>
      </w:pPr>
      <w:r w:rsidRPr="005047A7">
        <w:rPr>
          <w:b/>
          <w:bCs/>
          <w:color w:val="000000" w:themeColor="text1"/>
          <w:u w:val="single"/>
        </w:rPr>
        <w:t>PREPARATION FOR POTENTIAL TRANSITIONS</w:t>
      </w:r>
    </w:p>
    <w:p w14:paraId="5C3C1982" w14:textId="77777777" w:rsidR="00E86527" w:rsidRPr="005047A7" w:rsidRDefault="00E86527" w:rsidP="00E86527">
      <w:pPr>
        <w:rPr>
          <w:color w:val="000000" w:themeColor="text1"/>
        </w:rPr>
      </w:pPr>
    </w:p>
    <w:p w14:paraId="08AB7289" w14:textId="77777777" w:rsidR="005D2941" w:rsidRPr="005047A7" w:rsidRDefault="00E86527" w:rsidP="00E86527">
      <w:pPr>
        <w:rPr>
          <w:color w:val="000000" w:themeColor="text1"/>
        </w:rPr>
      </w:pPr>
      <w:r w:rsidRPr="005047A7">
        <w:rPr>
          <w:color w:val="000000" w:themeColor="text1"/>
        </w:rPr>
        <w:t xml:space="preserve">Effective preparation for potential transitions of care is critical to ensuring that NDIS participants experience smooth and coordinated care during periods of hospitalization or when moving between different care settings. The goal is to minimise disruptions, maintain continuity of care, and address the participant’s needs effectively. </w:t>
      </w:r>
    </w:p>
    <w:p w14:paraId="3455B13C" w14:textId="77777777" w:rsidR="005D2941" w:rsidRPr="005047A7" w:rsidRDefault="005D2941" w:rsidP="00E86527">
      <w:pPr>
        <w:rPr>
          <w:color w:val="000000" w:themeColor="text1"/>
        </w:rPr>
      </w:pPr>
    </w:p>
    <w:p w14:paraId="567D1EDE" w14:textId="77777777" w:rsidR="005D2941" w:rsidRPr="005047A7" w:rsidRDefault="005D2941" w:rsidP="00E86527">
      <w:pPr>
        <w:rPr>
          <w:color w:val="000000" w:themeColor="text1"/>
        </w:rPr>
      </w:pPr>
      <w:r w:rsidRPr="005047A7">
        <w:rPr>
          <w:color w:val="000000" w:themeColor="text1"/>
        </w:rPr>
        <w:t>Support staff play a crucial role in ensuring smooth and effective transitions of care for NDIS participants. Their obligations include:</w:t>
      </w:r>
    </w:p>
    <w:p w14:paraId="1915FCD9" w14:textId="77777777" w:rsidR="005D2941" w:rsidRPr="005047A7" w:rsidRDefault="00E86527" w:rsidP="00E86527">
      <w:pPr>
        <w:pStyle w:val="ListParagraph"/>
        <w:numPr>
          <w:ilvl w:val="0"/>
          <w:numId w:val="8"/>
        </w:numPr>
        <w:rPr>
          <w:color w:val="000000" w:themeColor="text1"/>
        </w:rPr>
      </w:pPr>
      <w:r w:rsidRPr="005047A7">
        <w:rPr>
          <w:color w:val="000000" w:themeColor="text1"/>
        </w:rPr>
        <w:t>Maintain Accurate Information: Ensure the participant’s health and medication information is current and accurate. Regularly update records to reflect any changes in their condition or treatment.</w:t>
      </w:r>
    </w:p>
    <w:p w14:paraId="7B91CE45" w14:textId="77777777" w:rsidR="005D2941" w:rsidRPr="005047A7" w:rsidRDefault="00E86527" w:rsidP="00E86527">
      <w:pPr>
        <w:pStyle w:val="ListParagraph"/>
        <w:numPr>
          <w:ilvl w:val="0"/>
          <w:numId w:val="8"/>
        </w:numPr>
        <w:rPr>
          <w:color w:val="000000" w:themeColor="text1"/>
        </w:rPr>
      </w:pPr>
      <w:r w:rsidRPr="005047A7">
        <w:rPr>
          <w:color w:val="000000" w:themeColor="text1"/>
        </w:rPr>
        <w:t>Communicate with Services: Engage in proactive communication with other service providers involved in the participant’s care to facilitate a smooth transition.</w:t>
      </w:r>
    </w:p>
    <w:p w14:paraId="23A32B2C" w14:textId="77777777" w:rsidR="00E86527" w:rsidRPr="005047A7" w:rsidRDefault="00E86527" w:rsidP="00025B2F">
      <w:pPr>
        <w:pStyle w:val="ListParagraph"/>
        <w:numPr>
          <w:ilvl w:val="0"/>
          <w:numId w:val="8"/>
        </w:numPr>
        <w:rPr>
          <w:color w:val="000000" w:themeColor="text1"/>
        </w:rPr>
      </w:pPr>
      <w:r w:rsidRPr="005047A7">
        <w:rPr>
          <w:color w:val="000000" w:themeColor="text1"/>
        </w:rPr>
        <w:t>Support Understanding and Communication: Assist participants in understanding their health information and communicate effectively with</w:t>
      </w:r>
      <w:r w:rsidR="005D2941" w:rsidRPr="005047A7">
        <w:rPr>
          <w:color w:val="000000" w:themeColor="text1"/>
        </w:rPr>
        <w:t xml:space="preserve"> care or</w:t>
      </w:r>
      <w:r w:rsidRPr="005047A7">
        <w:rPr>
          <w:color w:val="000000" w:themeColor="text1"/>
        </w:rPr>
        <w:t xml:space="preserve"> hospital staff.</w:t>
      </w:r>
    </w:p>
    <w:p w14:paraId="45BC056F" w14:textId="77777777" w:rsidR="00E86527" w:rsidRPr="005047A7" w:rsidRDefault="00E86527" w:rsidP="00025B2F">
      <w:pPr>
        <w:rPr>
          <w:color w:val="000000" w:themeColor="text1"/>
        </w:rPr>
      </w:pPr>
    </w:p>
    <w:p w14:paraId="0291BCEE" w14:textId="01F8564D" w:rsidR="00C90595" w:rsidRPr="00065C0E" w:rsidRDefault="00FE0023" w:rsidP="00C90595">
      <w:pPr>
        <w:spacing w:after="160" w:line="278" w:lineRule="auto"/>
        <w:rPr>
          <w:rFonts w:cstheme="minorHAnsi"/>
          <w:b/>
          <w:bCs/>
          <w:u w:val="single"/>
        </w:rPr>
      </w:pPr>
      <w:r w:rsidRPr="00065C0E">
        <w:rPr>
          <w:rFonts w:cstheme="minorHAnsi"/>
          <w:b/>
          <w:bCs/>
          <w:u w:val="single"/>
        </w:rPr>
        <w:t>TRANSITION TO AND FROM SUPPORTED INDEPENDENT LIVING (SIL)</w:t>
      </w:r>
    </w:p>
    <w:p w14:paraId="08C67981" w14:textId="77777777" w:rsidR="00C90595" w:rsidRPr="00065C0E" w:rsidRDefault="00C90595" w:rsidP="00FE0023">
      <w:pPr>
        <w:spacing w:line="278" w:lineRule="auto"/>
        <w:rPr>
          <w:rFonts w:cstheme="minorHAnsi"/>
        </w:rPr>
      </w:pPr>
      <w:r w:rsidRPr="00065C0E">
        <w:rPr>
          <w:rFonts w:cstheme="minorHAnsi"/>
        </w:rPr>
        <w:t>To ensure that transitions into and out of SIL settings are safe, person-centered, and compliant with all NDIS Practice Standards and AmeCare’s obligations.</w:t>
      </w:r>
    </w:p>
    <w:p w14:paraId="36C57005" w14:textId="77777777" w:rsidR="00FE0023" w:rsidRDefault="00FE0023" w:rsidP="00FE0023">
      <w:pPr>
        <w:spacing w:line="278" w:lineRule="auto"/>
        <w:rPr>
          <w:rFonts w:cstheme="minorHAnsi"/>
        </w:rPr>
      </w:pPr>
    </w:p>
    <w:p w14:paraId="6A8F5355" w14:textId="22692537" w:rsidR="00C90595" w:rsidRDefault="00C90595" w:rsidP="00FE0023">
      <w:pPr>
        <w:spacing w:line="278" w:lineRule="auto"/>
        <w:rPr>
          <w:rFonts w:cstheme="minorHAnsi"/>
        </w:rPr>
      </w:pPr>
      <w:r w:rsidRPr="00065C0E">
        <w:rPr>
          <w:rFonts w:cstheme="minorHAnsi"/>
        </w:rPr>
        <w:t>This section applies to all AmeCare staff, participants entering or exiting SIL arrangements, their families, support networks, and relevant external providers.</w:t>
      </w:r>
    </w:p>
    <w:p w14:paraId="134B4526" w14:textId="77777777" w:rsidR="00FE0023" w:rsidRPr="00065C0E" w:rsidRDefault="00FE0023" w:rsidP="00FE0023">
      <w:pPr>
        <w:spacing w:line="278" w:lineRule="auto"/>
        <w:rPr>
          <w:rFonts w:cstheme="minorHAnsi"/>
        </w:rPr>
      </w:pPr>
    </w:p>
    <w:p w14:paraId="177CE0DD" w14:textId="77777777" w:rsidR="00C90595" w:rsidRPr="00065C0E" w:rsidRDefault="00C90595" w:rsidP="00C90595">
      <w:pPr>
        <w:spacing w:after="160" w:line="278" w:lineRule="auto"/>
        <w:rPr>
          <w:rFonts w:cstheme="minorHAnsi"/>
          <w:b/>
          <w:bCs/>
        </w:rPr>
      </w:pPr>
      <w:r w:rsidRPr="00065C0E">
        <w:rPr>
          <w:rFonts w:cstheme="minorHAnsi"/>
          <w:b/>
          <w:bCs/>
        </w:rPr>
        <w:t>1. Entry into SIL</w:t>
      </w:r>
    </w:p>
    <w:p w14:paraId="2CCB30DD" w14:textId="77777777" w:rsidR="00C90595" w:rsidRPr="00065C0E" w:rsidRDefault="00C90595" w:rsidP="00FE0023">
      <w:pPr>
        <w:spacing w:line="278" w:lineRule="auto"/>
        <w:rPr>
          <w:rFonts w:cstheme="minorHAnsi"/>
          <w:b/>
          <w:bCs/>
        </w:rPr>
      </w:pPr>
      <w:r w:rsidRPr="00065C0E">
        <w:rPr>
          <w:rFonts w:cstheme="minorHAnsi"/>
          <w:b/>
          <w:bCs/>
        </w:rPr>
        <w:t>1.1 Service Agreements</w:t>
      </w:r>
    </w:p>
    <w:p w14:paraId="0A1E5911" w14:textId="77777777" w:rsidR="00C90595" w:rsidRPr="00065C0E" w:rsidRDefault="00C90595" w:rsidP="00FE0023">
      <w:pPr>
        <w:numPr>
          <w:ilvl w:val="0"/>
          <w:numId w:val="18"/>
        </w:numPr>
        <w:spacing w:before="240" w:line="278" w:lineRule="auto"/>
        <w:rPr>
          <w:rFonts w:cstheme="minorHAnsi"/>
        </w:rPr>
      </w:pPr>
      <w:r w:rsidRPr="00065C0E">
        <w:rPr>
          <w:rFonts w:cstheme="minorHAnsi"/>
        </w:rPr>
        <w:t>A signed service agreement must be in place before a participant transitions into SIL. This agreement will outline:</w:t>
      </w:r>
    </w:p>
    <w:p w14:paraId="494B9F4B" w14:textId="77777777" w:rsidR="00C90595" w:rsidRPr="00065C0E" w:rsidRDefault="00C90595" w:rsidP="00FE0023">
      <w:pPr>
        <w:numPr>
          <w:ilvl w:val="1"/>
          <w:numId w:val="18"/>
        </w:numPr>
        <w:spacing w:line="278" w:lineRule="auto"/>
        <w:rPr>
          <w:rFonts w:cstheme="minorHAnsi"/>
        </w:rPr>
      </w:pPr>
      <w:r w:rsidRPr="00065C0E">
        <w:rPr>
          <w:rFonts w:cstheme="minorHAnsi"/>
        </w:rPr>
        <w:t>The scope of supports provided</w:t>
      </w:r>
    </w:p>
    <w:p w14:paraId="752AC9F9" w14:textId="77777777" w:rsidR="00C90595" w:rsidRPr="00065C0E" w:rsidRDefault="00C90595" w:rsidP="00FE0023">
      <w:pPr>
        <w:numPr>
          <w:ilvl w:val="1"/>
          <w:numId w:val="18"/>
        </w:numPr>
        <w:spacing w:line="278" w:lineRule="auto"/>
        <w:rPr>
          <w:rFonts w:cstheme="minorHAnsi"/>
        </w:rPr>
      </w:pPr>
      <w:r w:rsidRPr="00065C0E">
        <w:rPr>
          <w:rFonts w:cstheme="minorHAnsi"/>
        </w:rPr>
        <w:t>Roles and responsibilities of all parties</w:t>
      </w:r>
    </w:p>
    <w:p w14:paraId="05934B79" w14:textId="77777777" w:rsidR="00C90595" w:rsidRPr="00065C0E" w:rsidRDefault="00C90595" w:rsidP="00FE0023">
      <w:pPr>
        <w:numPr>
          <w:ilvl w:val="1"/>
          <w:numId w:val="18"/>
        </w:numPr>
        <w:spacing w:line="278" w:lineRule="auto"/>
        <w:rPr>
          <w:rFonts w:cstheme="minorHAnsi"/>
        </w:rPr>
      </w:pPr>
      <w:r w:rsidRPr="00065C0E">
        <w:rPr>
          <w:rFonts w:cstheme="minorHAnsi"/>
        </w:rPr>
        <w:t>Financial arrangements, including rent, board, and service fees</w:t>
      </w:r>
    </w:p>
    <w:p w14:paraId="7EC317BA" w14:textId="77777777" w:rsidR="00C90595" w:rsidRPr="00065C0E" w:rsidRDefault="00C90595" w:rsidP="00FE0023">
      <w:pPr>
        <w:numPr>
          <w:ilvl w:val="1"/>
          <w:numId w:val="18"/>
        </w:numPr>
        <w:spacing w:line="278" w:lineRule="auto"/>
        <w:rPr>
          <w:rFonts w:cstheme="minorHAnsi"/>
        </w:rPr>
      </w:pPr>
      <w:r w:rsidRPr="00065C0E">
        <w:rPr>
          <w:rFonts w:cstheme="minorHAnsi"/>
        </w:rPr>
        <w:t>Dispute resolution processes</w:t>
      </w:r>
    </w:p>
    <w:p w14:paraId="1D72324F" w14:textId="77777777" w:rsidR="00C90595" w:rsidRPr="00065C0E" w:rsidRDefault="00C90595" w:rsidP="00C90595">
      <w:pPr>
        <w:numPr>
          <w:ilvl w:val="0"/>
          <w:numId w:val="18"/>
        </w:numPr>
        <w:spacing w:after="160" w:line="278" w:lineRule="auto"/>
        <w:rPr>
          <w:rFonts w:cstheme="minorHAnsi"/>
        </w:rPr>
      </w:pPr>
      <w:r w:rsidRPr="00065C0E">
        <w:rPr>
          <w:rFonts w:cstheme="minorHAnsi"/>
        </w:rPr>
        <w:t>The agreement must be reviewed with the participant and their support network to ensure understanding and consent.</w:t>
      </w:r>
    </w:p>
    <w:p w14:paraId="4100BE5E" w14:textId="77777777" w:rsidR="00C90595" w:rsidRPr="00065C0E" w:rsidRDefault="00C90595" w:rsidP="00FE0023">
      <w:pPr>
        <w:spacing w:line="278" w:lineRule="auto"/>
        <w:rPr>
          <w:rFonts w:cstheme="minorHAnsi"/>
          <w:b/>
          <w:bCs/>
        </w:rPr>
      </w:pPr>
      <w:r w:rsidRPr="00065C0E">
        <w:rPr>
          <w:rFonts w:cstheme="minorHAnsi"/>
          <w:b/>
          <w:bCs/>
        </w:rPr>
        <w:t>1.2 Resident Visits and Meetings</w:t>
      </w:r>
    </w:p>
    <w:p w14:paraId="5493E26E" w14:textId="77777777" w:rsidR="00C90595" w:rsidRPr="00065C0E" w:rsidRDefault="00C90595" w:rsidP="00FE0023">
      <w:pPr>
        <w:numPr>
          <w:ilvl w:val="0"/>
          <w:numId w:val="19"/>
        </w:numPr>
        <w:spacing w:line="278" w:lineRule="auto"/>
        <w:rPr>
          <w:rFonts w:cstheme="minorHAnsi"/>
        </w:rPr>
      </w:pPr>
      <w:r w:rsidRPr="00065C0E">
        <w:rPr>
          <w:rFonts w:cstheme="minorHAnsi"/>
        </w:rPr>
        <w:t>Prospective residents and their families/support networks will be offered the opportunity to visit the SIL residence prior to transition.</w:t>
      </w:r>
    </w:p>
    <w:p w14:paraId="48627E56" w14:textId="77777777" w:rsidR="00C90595" w:rsidRDefault="00C90595" w:rsidP="00FE0023">
      <w:pPr>
        <w:numPr>
          <w:ilvl w:val="0"/>
          <w:numId w:val="19"/>
        </w:numPr>
        <w:spacing w:line="278" w:lineRule="auto"/>
        <w:rPr>
          <w:rFonts w:cstheme="minorHAnsi"/>
        </w:rPr>
      </w:pPr>
      <w:r w:rsidRPr="00065C0E">
        <w:rPr>
          <w:rFonts w:cstheme="minorHAnsi"/>
        </w:rPr>
        <w:t>Meetings will be arranged between the incoming participant, current residents, and staff to support social integration and address any concerns.</w:t>
      </w:r>
    </w:p>
    <w:p w14:paraId="04D118F0" w14:textId="77777777" w:rsidR="00FE0023" w:rsidRPr="00065C0E" w:rsidRDefault="00FE0023" w:rsidP="00FE0023">
      <w:pPr>
        <w:spacing w:line="278" w:lineRule="auto"/>
        <w:ind w:left="720"/>
        <w:rPr>
          <w:rFonts w:cstheme="minorHAnsi"/>
        </w:rPr>
      </w:pPr>
    </w:p>
    <w:p w14:paraId="0595840F" w14:textId="77777777" w:rsidR="00C90595" w:rsidRPr="00065C0E" w:rsidRDefault="00C90595" w:rsidP="00FE0023">
      <w:pPr>
        <w:spacing w:line="278" w:lineRule="auto"/>
        <w:rPr>
          <w:rFonts w:cstheme="minorHAnsi"/>
          <w:b/>
          <w:bCs/>
        </w:rPr>
      </w:pPr>
      <w:r w:rsidRPr="00065C0E">
        <w:rPr>
          <w:rFonts w:cstheme="minorHAnsi"/>
          <w:b/>
          <w:bCs/>
        </w:rPr>
        <w:t>1.3 Money and Property Register</w:t>
      </w:r>
    </w:p>
    <w:p w14:paraId="53F7EC9E" w14:textId="77777777" w:rsidR="00C90595" w:rsidRPr="00065C0E" w:rsidRDefault="00C90595" w:rsidP="00FE0023">
      <w:pPr>
        <w:numPr>
          <w:ilvl w:val="0"/>
          <w:numId w:val="20"/>
        </w:numPr>
        <w:spacing w:line="278" w:lineRule="auto"/>
        <w:rPr>
          <w:rFonts w:cstheme="minorHAnsi"/>
        </w:rPr>
      </w:pPr>
      <w:r w:rsidRPr="00065C0E">
        <w:rPr>
          <w:rFonts w:cstheme="minorHAnsi"/>
        </w:rPr>
        <w:t>Upon entry, a money and property register will be completed for each participant, documenting all personal belongings, funds, and valuables.</w:t>
      </w:r>
    </w:p>
    <w:p w14:paraId="693D59F0" w14:textId="77777777" w:rsidR="00C90595" w:rsidRDefault="00C90595" w:rsidP="00FE0023">
      <w:pPr>
        <w:numPr>
          <w:ilvl w:val="0"/>
          <w:numId w:val="20"/>
        </w:numPr>
        <w:spacing w:line="278" w:lineRule="auto"/>
        <w:rPr>
          <w:rFonts w:cstheme="minorHAnsi"/>
        </w:rPr>
      </w:pPr>
      <w:r w:rsidRPr="00065C0E">
        <w:rPr>
          <w:rFonts w:cstheme="minorHAnsi"/>
        </w:rPr>
        <w:t>The register will be reviewed and updated as needed, with a copy provided to the participant and/or their guardian/carer.</w:t>
      </w:r>
    </w:p>
    <w:p w14:paraId="24F007B7" w14:textId="77777777" w:rsidR="00FE0023" w:rsidRPr="00065C0E" w:rsidRDefault="00FE0023" w:rsidP="00FE0023">
      <w:pPr>
        <w:spacing w:line="278" w:lineRule="auto"/>
        <w:ind w:left="720"/>
        <w:rPr>
          <w:rFonts w:cstheme="minorHAnsi"/>
        </w:rPr>
      </w:pPr>
    </w:p>
    <w:p w14:paraId="71B045A5" w14:textId="77777777" w:rsidR="00C90595" w:rsidRPr="00065C0E" w:rsidRDefault="00C90595" w:rsidP="00FE0023">
      <w:pPr>
        <w:spacing w:line="278" w:lineRule="auto"/>
        <w:rPr>
          <w:rFonts w:cstheme="minorHAnsi"/>
          <w:b/>
          <w:bCs/>
        </w:rPr>
      </w:pPr>
      <w:r w:rsidRPr="00065C0E">
        <w:rPr>
          <w:rFonts w:cstheme="minorHAnsi"/>
          <w:b/>
          <w:bCs/>
        </w:rPr>
        <w:lastRenderedPageBreak/>
        <w:t>1.4 Orientation and Support Planning</w:t>
      </w:r>
    </w:p>
    <w:p w14:paraId="126CB5A4" w14:textId="77777777" w:rsidR="00C90595" w:rsidRPr="00065C0E" w:rsidRDefault="00C90595" w:rsidP="00FE0023">
      <w:pPr>
        <w:numPr>
          <w:ilvl w:val="0"/>
          <w:numId w:val="21"/>
        </w:numPr>
        <w:spacing w:line="278" w:lineRule="auto"/>
        <w:rPr>
          <w:rFonts w:cstheme="minorHAnsi"/>
        </w:rPr>
      </w:pPr>
      <w:r w:rsidRPr="00065C0E">
        <w:rPr>
          <w:rFonts w:cstheme="minorHAnsi"/>
        </w:rPr>
        <w:t>An orientation will be provided to new residents, covering house rules, emergency procedures, and daily routines.</w:t>
      </w:r>
    </w:p>
    <w:p w14:paraId="6F81213A" w14:textId="77777777" w:rsidR="00C90595" w:rsidRDefault="00C90595" w:rsidP="00FE0023">
      <w:pPr>
        <w:numPr>
          <w:ilvl w:val="0"/>
          <w:numId w:val="21"/>
        </w:numPr>
        <w:spacing w:line="278" w:lineRule="auto"/>
        <w:rPr>
          <w:rFonts w:cstheme="minorHAnsi"/>
        </w:rPr>
      </w:pPr>
      <w:r w:rsidRPr="00065C0E">
        <w:rPr>
          <w:rFonts w:cstheme="minorHAnsi"/>
        </w:rPr>
        <w:t>The Participant Support Plan will be updated to reflect SIL-specific needs, goals, and arrangements.</w:t>
      </w:r>
    </w:p>
    <w:p w14:paraId="108CAF7F" w14:textId="77777777" w:rsidR="00FE0023" w:rsidRPr="00065C0E" w:rsidRDefault="00FE0023" w:rsidP="00FE0023">
      <w:pPr>
        <w:spacing w:line="278" w:lineRule="auto"/>
        <w:ind w:left="720"/>
        <w:rPr>
          <w:rFonts w:cstheme="minorHAnsi"/>
        </w:rPr>
      </w:pPr>
    </w:p>
    <w:p w14:paraId="47E4A74E" w14:textId="77777777" w:rsidR="00C90595" w:rsidRPr="00065C0E" w:rsidRDefault="00C90595" w:rsidP="00C90595">
      <w:pPr>
        <w:spacing w:after="160" w:line="278" w:lineRule="auto"/>
        <w:rPr>
          <w:rFonts w:cstheme="minorHAnsi"/>
          <w:b/>
          <w:bCs/>
        </w:rPr>
      </w:pPr>
      <w:r w:rsidRPr="00065C0E">
        <w:rPr>
          <w:rFonts w:cstheme="minorHAnsi"/>
          <w:b/>
          <w:bCs/>
        </w:rPr>
        <w:t>2. Transition out of SIL</w:t>
      </w:r>
    </w:p>
    <w:p w14:paraId="29F33148" w14:textId="77777777" w:rsidR="00C90595" w:rsidRPr="00065C0E" w:rsidRDefault="00C90595" w:rsidP="00FE0023">
      <w:pPr>
        <w:spacing w:line="278" w:lineRule="auto"/>
        <w:rPr>
          <w:rFonts w:cstheme="minorHAnsi"/>
          <w:b/>
          <w:bCs/>
        </w:rPr>
      </w:pPr>
      <w:r w:rsidRPr="00065C0E">
        <w:rPr>
          <w:rFonts w:cstheme="minorHAnsi"/>
          <w:b/>
          <w:bCs/>
        </w:rPr>
        <w:t>2.1 Exit Planning and Handover</w:t>
      </w:r>
    </w:p>
    <w:p w14:paraId="71B657BE" w14:textId="77777777" w:rsidR="00C90595" w:rsidRPr="00065C0E" w:rsidRDefault="00C90595" w:rsidP="00FE0023">
      <w:pPr>
        <w:numPr>
          <w:ilvl w:val="0"/>
          <w:numId w:val="22"/>
        </w:numPr>
        <w:spacing w:line="278" w:lineRule="auto"/>
        <w:rPr>
          <w:rFonts w:cstheme="minorHAnsi"/>
        </w:rPr>
      </w:pPr>
      <w:r w:rsidRPr="00065C0E">
        <w:rPr>
          <w:rFonts w:cstheme="minorHAnsi"/>
        </w:rPr>
        <w:t>Exit planning will commence as early as possible, involving the participant, their support network, and relevant external providers.</w:t>
      </w:r>
    </w:p>
    <w:p w14:paraId="7B5103E3" w14:textId="77777777" w:rsidR="00C90595" w:rsidRPr="00065C0E" w:rsidRDefault="00C90595" w:rsidP="00FE0023">
      <w:pPr>
        <w:numPr>
          <w:ilvl w:val="0"/>
          <w:numId w:val="22"/>
        </w:numPr>
        <w:spacing w:line="278" w:lineRule="auto"/>
        <w:rPr>
          <w:rFonts w:cstheme="minorHAnsi"/>
        </w:rPr>
      </w:pPr>
      <w:r w:rsidRPr="00065C0E">
        <w:rPr>
          <w:rFonts w:cstheme="minorHAnsi"/>
        </w:rPr>
        <w:t>With participant consent, AmeCare will share relevant information with the new provider to support a seamless transition.</w:t>
      </w:r>
    </w:p>
    <w:p w14:paraId="6E0F2302" w14:textId="77777777" w:rsidR="00C90595" w:rsidRDefault="00C90595" w:rsidP="00FE0023">
      <w:pPr>
        <w:numPr>
          <w:ilvl w:val="0"/>
          <w:numId w:val="22"/>
        </w:numPr>
        <w:spacing w:line="278" w:lineRule="auto"/>
        <w:rPr>
          <w:rFonts w:cstheme="minorHAnsi"/>
        </w:rPr>
      </w:pPr>
      <w:r w:rsidRPr="00065C0E">
        <w:rPr>
          <w:rFonts w:cstheme="minorHAnsi"/>
        </w:rPr>
        <w:t>An exit meeting will be offered to review the outcomes of support, discuss the transition plan, and address any outstanding matters.</w:t>
      </w:r>
    </w:p>
    <w:p w14:paraId="5863F95A" w14:textId="77777777" w:rsidR="00FE0023" w:rsidRPr="00065C0E" w:rsidRDefault="00FE0023" w:rsidP="00FE0023">
      <w:pPr>
        <w:spacing w:line="278" w:lineRule="auto"/>
        <w:ind w:left="720"/>
        <w:rPr>
          <w:rFonts w:cstheme="minorHAnsi"/>
        </w:rPr>
      </w:pPr>
    </w:p>
    <w:p w14:paraId="55BEF431" w14:textId="77777777" w:rsidR="00C90595" w:rsidRPr="00065C0E" w:rsidRDefault="00C90595" w:rsidP="00FE0023">
      <w:pPr>
        <w:spacing w:line="278" w:lineRule="auto"/>
        <w:rPr>
          <w:rFonts w:cstheme="minorHAnsi"/>
          <w:b/>
          <w:bCs/>
        </w:rPr>
      </w:pPr>
      <w:r w:rsidRPr="00065C0E">
        <w:rPr>
          <w:rFonts w:cstheme="minorHAnsi"/>
          <w:b/>
          <w:bCs/>
        </w:rPr>
        <w:t>2.2 Money and Property Register</w:t>
      </w:r>
    </w:p>
    <w:p w14:paraId="19AAEE5E" w14:textId="77777777" w:rsidR="00C90595" w:rsidRDefault="00C90595" w:rsidP="00FE0023">
      <w:pPr>
        <w:numPr>
          <w:ilvl w:val="0"/>
          <w:numId w:val="23"/>
        </w:numPr>
        <w:spacing w:line="278" w:lineRule="auto"/>
        <w:rPr>
          <w:rFonts w:cstheme="minorHAnsi"/>
        </w:rPr>
      </w:pPr>
      <w:r w:rsidRPr="00065C0E">
        <w:rPr>
          <w:rFonts w:cstheme="minorHAnsi"/>
        </w:rPr>
        <w:t>The money and property register will be reviewed and updated at exit, ensuring all personal property is accounted for and returned to the participant.</w:t>
      </w:r>
    </w:p>
    <w:p w14:paraId="3B9A66A0" w14:textId="77777777" w:rsidR="00FE0023" w:rsidRPr="00065C0E" w:rsidRDefault="00FE0023" w:rsidP="00FE0023">
      <w:pPr>
        <w:spacing w:line="278" w:lineRule="auto"/>
        <w:ind w:left="720"/>
        <w:rPr>
          <w:rFonts w:cstheme="minorHAnsi"/>
        </w:rPr>
      </w:pPr>
    </w:p>
    <w:p w14:paraId="4D875B92" w14:textId="77777777" w:rsidR="00C90595" w:rsidRPr="00065C0E" w:rsidRDefault="00C90595" w:rsidP="00FE0023">
      <w:pPr>
        <w:spacing w:line="278" w:lineRule="auto"/>
        <w:rPr>
          <w:rFonts w:cstheme="minorHAnsi"/>
          <w:b/>
          <w:bCs/>
        </w:rPr>
      </w:pPr>
      <w:r w:rsidRPr="00065C0E">
        <w:rPr>
          <w:rFonts w:cstheme="minorHAnsi"/>
          <w:b/>
          <w:bCs/>
        </w:rPr>
        <w:t>2.3 Service Agreement Closure</w:t>
      </w:r>
    </w:p>
    <w:p w14:paraId="5CD0DE8F" w14:textId="77777777" w:rsidR="00C90595" w:rsidRDefault="00C90595" w:rsidP="00FE0023">
      <w:pPr>
        <w:numPr>
          <w:ilvl w:val="0"/>
          <w:numId w:val="24"/>
        </w:numPr>
        <w:spacing w:line="278" w:lineRule="auto"/>
        <w:rPr>
          <w:rFonts w:cstheme="minorHAnsi"/>
        </w:rPr>
      </w:pPr>
      <w:r w:rsidRPr="00065C0E">
        <w:rPr>
          <w:rFonts w:cstheme="minorHAnsi"/>
        </w:rPr>
        <w:t>The service agreement will be reviewed and formally closed, with all obligations met and final statements provided to the participant.</w:t>
      </w:r>
    </w:p>
    <w:p w14:paraId="7AA618AA" w14:textId="77777777" w:rsidR="00FE0023" w:rsidRPr="00065C0E" w:rsidRDefault="00FE0023" w:rsidP="00FE0023">
      <w:pPr>
        <w:spacing w:line="278" w:lineRule="auto"/>
        <w:ind w:left="720"/>
        <w:rPr>
          <w:rFonts w:cstheme="minorHAnsi"/>
        </w:rPr>
      </w:pPr>
    </w:p>
    <w:p w14:paraId="53F6EAB7" w14:textId="77777777" w:rsidR="00C90595" w:rsidRPr="00065C0E" w:rsidRDefault="00C90595" w:rsidP="00C90595">
      <w:pPr>
        <w:spacing w:after="160" w:line="278" w:lineRule="auto"/>
        <w:rPr>
          <w:rFonts w:cstheme="minorHAnsi"/>
          <w:b/>
          <w:bCs/>
        </w:rPr>
      </w:pPr>
      <w:r w:rsidRPr="00065C0E">
        <w:rPr>
          <w:rFonts w:cstheme="minorHAnsi"/>
          <w:b/>
          <w:bCs/>
        </w:rPr>
        <w:t>3. NDIS Compliance and Best Practice</w:t>
      </w:r>
    </w:p>
    <w:p w14:paraId="4297555B" w14:textId="77777777" w:rsidR="00C90595" w:rsidRPr="00065C0E" w:rsidRDefault="00C90595" w:rsidP="00FE0023">
      <w:pPr>
        <w:spacing w:line="278" w:lineRule="auto"/>
        <w:rPr>
          <w:rFonts w:cstheme="minorHAnsi"/>
          <w:b/>
          <w:bCs/>
        </w:rPr>
      </w:pPr>
      <w:r w:rsidRPr="00065C0E">
        <w:rPr>
          <w:rFonts w:cstheme="minorHAnsi"/>
          <w:b/>
          <w:bCs/>
        </w:rPr>
        <w:t>3.1 Consent and Information Sharing</w:t>
      </w:r>
    </w:p>
    <w:p w14:paraId="3308D1B3" w14:textId="208F13B5" w:rsidR="00FE0023" w:rsidRDefault="00C90595" w:rsidP="00FE0023">
      <w:pPr>
        <w:numPr>
          <w:ilvl w:val="0"/>
          <w:numId w:val="25"/>
        </w:numPr>
        <w:spacing w:line="278" w:lineRule="auto"/>
        <w:rPr>
          <w:rFonts w:cstheme="minorHAnsi"/>
        </w:rPr>
      </w:pPr>
      <w:r w:rsidRPr="00065C0E">
        <w:rPr>
          <w:rFonts w:cstheme="minorHAnsi"/>
        </w:rPr>
        <w:t>Participant (or guardian/carer) consent must be obtained and documented for all information sharing during transitions.</w:t>
      </w:r>
    </w:p>
    <w:p w14:paraId="43CB721C" w14:textId="77777777" w:rsidR="00FE0023" w:rsidRPr="00065C0E" w:rsidRDefault="00FE0023" w:rsidP="00FE0023">
      <w:pPr>
        <w:spacing w:line="278" w:lineRule="auto"/>
        <w:ind w:left="720"/>
        <w:rPr>
          <w:rFonts w:cstheme="minorHAnsi"/>
        </w:rPr>
      </w:pPr>
    </w:p>
    <w:p w14:paraId="1DCBD967" w14:textId="128834E4" w:rsidR="00FE0023" w:rsidRPr="00065C0E" w:rsidRDefault="00C90595" w:rsidP="00FE0023">
      <w:pPr>
        <w:spacing w:line="278" w:lineRule="auto"/>
        <w:rPr>
          <w:rFonts w:cstheme="minorHAnsi"/>
          <w:b/>
          <w:bCs/>
        </w:rPr>
      </w:pPr>
      <w:r w:rsidRPr="00065C0E">
        <w:rPr>
          <w:rFonts w:cstheme="minorHAnsi"/>
          <w:b/>
          <w:bCs/>
        </w:rPr>
        <w:t>3.2 Risk Assessment</w:t>
      </w:r>
    </w:p>
    <w:p w14:paraId="0516387D" w14:textId="614E35E0" w:rsidR="00C90595" w:rsidRDefault="00C90595" w:rsidP="00FE0023">
      <w:pPr>
        <w:numPr>
          <w:ilvl w:val="0"/>
          <w:numId w:val="26"/>
        </w:numPr>
        <w:spacing w:line="278" w:lineRule="auto"/>
        <w:rPr>
          <w:rFonts w:cstheme="minorHAnsi"/>
        </w:rPr>
      </w:pPr>
      <w:r w:rsidRPr="00065C0E">
        <w:rPr>
          <w:rFonts w:cstheme="minorHAnsi"/>
        </w:rPr>
        <w:t>A risk assessment specific to SIL transitions will be conducted and documented, addressing environmental, behavioural, and health risks.</w:t>
      </w:r>
    </w:p>
    <w:p w14:paraId="71226AE8" w14:textId="77777777" w:rsidR="00FE0023" w:rsidRPr="00065C0E" w:rsidRDefault="00FE0023" w:rsidP="00FE0023">
      <w:pPr>
        <w:spacing w:line="278" w:lineRule="auto"/>
        <w:ind w:left="720"/>
        <w:rPr>
          <w:rFonts w:cstheme="minorHAnsi"/>
        </w:rPr>
      </w:pPr>
    </w:p>
    <w:p w14:paraId="4081B9D9" w14:textId="77777777" w:rsidR="00C90595" w:rsidRPr="00065C0E" w:rsidRDefault="00C90595" w:rsidP="00FE0023">
      <w:pPr>
        <w:spacing w:line="278" w:lineRule="auto"/>
        <w:rPr>
          <w:rFonts w:cstheme="minorHAnsi"/>
          <w:b/>
          <w:bCs/>
        </w:rPr>
      </w:pPr>
      <w:r w:rsidRPr="00065C0E">
        <w:rPr>
          <w:rFonts w:cstheme="minorHAnsi"/>
          <w:b/>
          <w:bCs/>
        </w:rPr>
        <w:t>3.3 Communication</w:t>
      </w:r>
    </w:p>
    <w:p w14:paraId="4BC39AA4" w14:textId="77777777" w:rsidR="00C90595" w:rsidRDefault="00C90595" w:rsidP="00FE0023">
      <w:pPr>
        <w:numPr>
          <w:ilvl w:val="0"/>
          <w:numId w:val="27"/>
        </w:numPr>
        <w:spacing w:line="278" w:lineRule="auto"/>
        <w:rPr>
          <w:rFonts w:cstheme="minorHAnsi"/>
        </w:rPr>
      </w:pPr>
      <w:r w:rsidRPr="00065C0E">
        <w:rPr>
          <w:rFonts w:cstheme="minorHAnsi"/>
        </w:rPr>
        <w:t>Ongoing communication will be maintained with all stakeholders, including the participant, family/support network, NDIS plan manager, and other providers.</w:t>
      </w:r>
    </w:p>
    <w:p w14:paraId="1A8B0850" w14:textId="77777777" w:rsidR="00FE0023" w:rsidRPr="00065C0E" w:rsidRDefault="00FE0023" w:rsidP="00FE0023">
      <w:pPr>
        <w:spacing w:line="278" w:lineRule="auto"/>
        <w:ind w:left="720"/>
        <w:rPr>
          <w:rFonts w:cstheme="minorHAnsi"/>
        </w:rPr>
      </w:pPr>
    </w:p>
    <w:p w14:paraId="2A105321" w14:textId="77777777" w:rsidR="00C90595" w:rsidRPr="00065C0E" w:rsidRDefault="00C90595" w:rsidP="00FE0023">
      <w:pPr>
        <w:spacing w:line="278" w:lineRule="auto"/>
        <w:rPr>
          <w:rFonts w:cstheme="minorHAnsi"/>
          <w:b/>
          <w:bCs/>
        </w:rPr>
      </w:pPr>
      <w:r w:rsidRPr="00065C0E">
        <w:rPr>
          <w:rFonts w:cstheme="minorHAnsi"/>
          <w:b/>
          <w:bCs/>
        </w:rPr>
        <w:t>3.4 Documentation</w:t>
      </w:r>
    </w:p>
    <w:p w14:paraId="4F51F2C0" w14:textId="77777777" w:rsidR="00C90595" w:rsidRPr="00065C0E" w:rsidRDefault="00C90595" w:rsidP="00FE0023">
      <w:pPr>
        <w:numPr>
          <w:ilvl w:val="0"/>
          <w:numId w:val="28"/>
        </w:numPr>
        <w:spacing w:line="278" w:lineRule="auto"/>
        <w:rPr>
          <w:rFonts w:cstheme="minorHAnsi"/>
        </w:rPr>
      </w:pPr>
      <w:r w:rsidRPr="00065C0E">
        <w:rPr>
          <w:rFonts w:cstheme="minorHAnsi"/>
        </w:rPr>
        <w:lastRenderedPageBreak/>
        <w:t>All transition activities, meetings, and decisions will be documented in the Participant Support Plan and relevant forms (e.g., Individual Risk Assessment, Money and Property Register, Participant Exit Form).</w:t>
      </w:r>
    </w:p>
    <w:p w14:paraId="069F21A4" w14:textId="77777777" w:rsidR="00C90595" w:rsidRDefault="00C90595" w:rsidP="00C90595">
      <w:pPr>
        <w:spacing w:after="160" w:line="278" w:lineRule="auto"/>
        <w:rPr>
          <w:rFonts w:cstheme="minorHAnsi"/>
          <w:b/>
          <w:bCs/>
        </w:rPr>
      </w:pPr>
    </w:p>
    <w:p w14:paraId="69756E0C" w14:textId="18098CC0" w:rsidR="00C90595" w:rsidRPr="00065C0E" w:rsidRDefault="00FE0023" w:rsidP="00C90595">
      <w:pPr>
        <w:spacing w:after="160" w:line="278" w:lineRule="auto"/>
        <w:rPr>
          <w:rFonts w:ascii="Calibri" w:hAnsi="Calibri" w:cs="Calibri"/>
          <w:b/>
          <w:bCs/>
          <w:u w:val="single"/>
        </w:rPr>
      </w:pPr>
      <w:r w:rsidRPr="00065C0E">
        <w:rPr>
          <w:rFonts w:ascii="Calibri" w:hAnsi="Calibri" w:cs="Calibri"/>
          <w:b/>
          <w:bCs/>
          <w:u w:val="single"/>
        </w:rPr>
        <w:t>TRANSITIONING FROM ROOMING HOUSES OR SRS TO SIL</w:t>
      </w:r>
    </w:p>
    <w:p w14:paraId="590BBF90" w14:textId="77777777" w:rsidR="00C90595" w:rsidRPr="00065C0E" w:rsidRDefault="00C90595" w:rsidP="00C90595">
      <w:pPr>
        <w:spacing w:after="160" w:line="278" w:lineRule="auto"/>
        <w:rPr>
          <w:rFonts w:ascii="Calibri" w:hAnsi="Calibri" w:cs="Calibri"/>
        </w:rPr>
      </w:pPr>
      <w:r w:rsidRPr="00065C0E">
        <w:rPr>
          <w:rFonts w:ascii="Calibri" w:hAnsi="Calibri" w:cs="Calibri"/>
          <w:b/>
          <w:bCs/>
        </w:rPr>
        <w:t>Rooming houses</w:t>
      </w:r>
      <w:r w:rsidRPr="00065C0E">
        <w:rPr>
          <w:rFonts w:ascii="Calibri" w:hAnsi="Calibri" w:cs="Calibri"/>
        </w:rPr>
        <w:t xml:space="preserve"> and </w:t>
      </w:r>
      <w:r w:rsidRPr="00065C0E">
        <w:rPr>
          <w:rFonts w:ascii="Calibri" w:hAnsi="Calibri" w:cs="Calibri"/>
          <w:b/>
          <w:bCs/>
        </w:rPr>
        <w:t>SRS</w:t>
      </w:r>
      <w:r w:rsidRPr="00065C0E">
        <w:rPr>
          <w:rFonts w:ascii="Calibri" w:hAnsi="Calibri" w:cs="Calibri"/>
        </w:rPr>
        <w:t xml:space="preserve"> offer varying levels of support, but may not provide the individualized, NDIS-funded supports available in SIL. Key steps for transitioning include:</w:t>
      </w:r>
    </w:p>
    <w:p w14:paraId="32C0E529" w14:textId="77777777" w:rsidR="00C90595" w:rsidRPr="00065C0E" w:rsidRDefault="00C90595" w:rsidP="00FE0023">
      <w:pPr>
        <w:numPr>
          <w:ilvl w:val="0"/>
          <w:numId w:val="29"/>
        </w:numPr>
        <w:spacing w:line="278" w:lineRule="auto"/>
        <w:rPr>
          <w:rFonts w:ascii="Calibri" w:hAnsi="Calibri" w:cs="Calibri"/>
        </w:rPr>
      </w:pPr>
      <w:r w:rsidRPr="00065C0E">
        <w:rPr>
          <w:rFonts w:ascii="Calibri" w:hAnsi="Calibri" w:cs="Calibri"/>
          <w:b/>
          <w:bCs/>
        </w:rPr>
        <w:t>Eligibility and Funding:</w:t>
      </w:r>
      <w:r w:rsidRPr="00065C0E">
        <w:rPr>
          <w:rFonts w:ascii="Calibri" w:hAnsi="Calibri" w:cs="Calibri"/>
        </w:rPr>
        <w:t xml:space="preserve"> If moving from SRS, ensure the participant is NDIS-eligible and has SIL funding in their plan. This may require gathering evidence from health professionals and completing an NDIS Access Request.</w:t>
      </w:r>
    </w:p>
    <w:p w14:paraId="2D241450" w14:textId="77777777" w:rsidR="00C90595" w:rsidRPr="00065C0E" w:rsidRDefault="00C90595" w:rsidP="00FE0023">
      <w:pPr>
        <w:numPr>
          <w:ilvl w:val="0"/>
          <w:numId w:val="29"/>
        </w:numPr>
        <w:spacing w:line="278" w:lineRule="auto"/>
        <w:rPr>
          <w:rFonts w:ascii="Calibri" w:hAnsi="Calibri" w:cs="Calibri"/>
        </w:rPr>
      </w:pPr>
      <w:r w:rsidRPr="00065C0E">
        <w:rPr>
          <w:rFonts w:ascii="Calibri" w:hAnsi="Calibri" w:cs="Calibri"/>
          <w:b/>
          <w:bCs/>
        </w:rPr>
        <w:t>Assessment of Needs:</w:t>
      </w:r>
      <w:r w:rsidRPr="00065C0E">
        <w:rPr>
          <w:rFonts w:ascii="Calibri" w:hAnsi="Calibri" w:cs="Calibri"/>
        </w:rPr>
        <w:t xml:space="preserve"> Determine if SIL is the best fit, especially for those with higher support needs.</w:t>
      </w:r>
    </w:p>
    <w:p w14:paraId="5C2C004D" w14:textId="77777777" w:rsidR="00C90595" w:rsidRPr="00065C0E" w:rsidRDefault="00C90595" w:rsidP="00FE0023">
      <w:pPr>
        <w:numPr>
          <w:ilvl w:val="0"/>
          <w:numId w:val="29"/>
        </w:numPr>
        <w:spacing w:line="278" w:lineRule="auto"/>
        <w:rPr>
          <w:rFonts w:ascii="Calibri" w:hAnsi="Calibri" w:cs="Calibri"/>
        </w:rPr>
      </w:pPr>
      <w:r w:rsidRPr="00065C0E">
        <w:rPr>
          <w:rFonts w:ascii="Calibri" w:hAnsi="Calibri" w:cs="Calibri"/>
          <w:b/>
          <w:bCs/>
        </w:rPr>
        <w:t>Transition Planning:</w:t>
      </w:r>
      <w:r w:rsidRPr="00065C0E">
        <w:rPr>
          <w:rFonts w:ascii="Calibri" w:hAnsi="Calibri" w:cs="Calibri"/>
        </w:rPr>
        <w:t xml:space="preserve"> Work with a support coordinator to develop a detailed plan, including timelines, support needs, and preferred living arrangements.</w:t>
      </w:r>
    </w:p>
    <w:p w14:paraId="1F146F81" w14:textId="77777777" w:rsidR="00C90595" w:rsidRPr="00065C0E" w:rsidRDefault="00C90595" w:rsidP="00FE0023">
      <w:pPr>
        <w:numPr>
          <w:ilvl w:val="0"/>
          <w:numId w:val="29"/>
        </w:numPr>
        <w:spacing w:line="278" w:lineRule="auto"/>
        <w:rPr>
          <w:rFonts w:ascii="Calibri" w:hAnsi="Calibri" w:cs="Calibri"/>
        </w:rPr>
      </w:pPr>
      <w:r w:rsidRPr="00065C0E">
        <w:rPr>
          <w:rFonts w:ascii="Calibri" w:hAnsi="Calibri" w:cs="Calibri"/>
          <w:b/>
          <w:bCs/>
        </w:rPr>
        <w:t>Provider Selection:</w:t>
      </w:r>
      <w:r w:rsidRPr="00065C0E">
        <w:rPr>
          <w:rFonts w:ascii="Calibri" w:hAnsi="Calibri" w:cs="Calibri"/>
        </w:rPr>
        <w:t xml:space="preserve"> Choose a SIL provider that matches the participant’s goals, preferences, and support requirements.</w:t>
      </w:r>
    </w:p>
    <w:p w14:paraId="6E06600F" w14:textId="77777777" w:rsidR="00C90595" w:rsidRPr="00065C0E" w:rsidRDefault="00C90595" w:rsidP="00FE0023">
      <w:pPr>
        <w:numPr>
          <w:ilvl w:val="0"/>
          <w:numId w:val="29"/>
        </w:numPr>
        <w:spacing w:line="278" w:lineRule="auto"/>
        <w:rPr>
          <w:rFonts w:ascii="Calibri" w:hAnsi="Calibri" w:cs="Calibri"/>
        </w:rPr>
      </w:pPr>
      <w:r w:rsidRPr="00065C0E">
        <w:rPr>
          <w:rFonts w:ascii="Calibri" w:hAnsi="Calibri" w:cs="Calibri"/>
          <w:b/>
          <w:bCs/>
        </w:rPr>
        <w:t>Orientation and Onboarding:</w:t>
      </w:r>
      <w:r w:rsidRPr="00065C0E">
        <w:rPr>
          <w:rFonts w:ascii="Calibri" w:hAnsi="Calibri" w:cs="Calibri"/>
        </w:rPr>
        <w:t xml:space="preserve"> Arrange visits, meet staff and housemates, and review house rules and routines.</w:t>
      </w:r>
    </w:p>
    <w:p w14:paraId="34A7D9D4" w14:textId="18AB89AA" w:rsidR="00C90595" w:rsidRDefault="00C90595" w:rsidP="00FE0023">
      <w:pPr>
        <w:numPr>
          <w:ilvl w:val="0"/>
          <w:numId w:val="29"/>
        </w:numPr>
        <w:spacing w:line="278" w:lineRule="auto"/>
        <w:rPr>
          <w:rFonts w:ascii="Calibri" w:hAnsi="Calibri" w:cs="Calibri"/>
        </w:rPr>
      </w:pPr>
      <w:r w:rsidRPr="00065C0E">
        <w:rPr>
          <w:rFonts w:ascii="Calibri" w:hAnsi="Calibri" w:cs="Calibri"/>
          <w:b/>
          <w:bCs/>
        </w:rPr>
        <w:t>Documentation:</w:t>
      </w:r>
      <w:r w:rsidRPr="00065C0E">
        <w:rPr>
          <w:rFonts w:ascii="Calibri" w:hAnsi="Calibri" w:cs="Calibri"/>
        </w:rPr>
        <w:t xml:space="preserve"> Ensure all agreements, support plans, and property registers are updated and transferred as needed.</w:t>
      </w:r>
    </w:p>
    <w:p w14:paraId="5E97E0E5" w14:textId="77777777" w:rsidR="00C90595" w:rsidRPr="00C90595" w:rsidRDefault="00C90595" w:rsidP="00C90595">
      <w:pPr>
        <w:spacing w:after="160" w:line="278" w:lineRule="auto"/>
        <w:ind w:left="720"/>
        <w:rPr>
          <w:rFonts w:ascii="Calibri" w:hAnsi="Calibri" w:cs="Calibri"/>
          <w:u w:val="single"/>
        </w:rPr>
      </w:pPr>
    </w:p>
    <w:p w14:paraId="667E8E5E" w14:textId="01AC7B99" w:rsidR="00C90595" w:rsidRPr="00065C0E" w:rsidRDefault="00FE0023" w:rsidP="00C90595">
      <w:pPr>
        <w:spacing w:after="160" w:line="278" w:lineRule="auto"/>
        <w:rPr>
          <w:rFonts w:ascii="Calibri" w:hAnsi="Calibri" w:cs="Calibri"/>
          <w:b/>
          <w:bCs/>
          <w:u w:val="single"/>
        </w:rPr>
      </w:pPr>
      <w:r w:rsidRPr="00065C0E">
        <w:rPr>
          <w:rFonts w:ascii="Calibri" w:hAnsi="Calibri" w:cs="Calibri"/>
          <w:b/>
          <w:bCs/>
          <w:u w:val="single"/>
        </w:rPr>
        <w:t>TRANSITIONING FROM OTHER ACCOMMODATION (E.G., FAMILY HOME, STA, MTA)</w:t>
      </w:r>
    </w:p>
    <w:p w14:paraId="202898F2" w14:textId="77777777" w:rsidR="00C90595" w:rsidRPr="00065C0E" w:rsidRDefault="00C90595" w:rsidP="00FE0023">
      <w:pPr>
        <w:numPr>
          <w:ilvl w:val="0"/>
          <w:numId w:val="30"/>
        </w:numPr>
        <w:spacing w:line="278" w:lineRule="auto"/>
        <w:rPr>
          <w:rFonts w:ascii="Calibri" w:hAnsi="Calibri" w:cs="Calibri"/>
        </w:rPr>
      </w:pPr>
      <w:r w:rsidRPr="00065C0E">
        <w:rPr>
          <w:rFonts w:ascii="Calibri" w:hAnsi="Calibri" w:cs="Calibri"/>
          <w:b/>
          <w:bCs/>
        </w:rPr>
        <w:t>Early Planning:</w:t>
      </w:r>
      <w:r w:rsidRPr="00065C0E">
        <w:rPr>
          <w:rFonts w:ascii="Calibri" w:hAnsi="Calibri" w:cs="Calibri"/>
        </w:rPr>
        <w:t xml:space="preserve"> Start discussions early with the participant, family, and support team.</w:t>
      </w:r>
    </w:p>
    <w:p w14:paraId="50804BDD" w14:textId="77777777" w:rsidR="00C90595" w:rsidRPr="00065C0E" w:rsidRDefault="00C90595" w:rsidP="00FE0023">
      <w:pPr>
        <w:numPr>
          <w:ilvl w:val="0"/>
          <w:numId w:val="30"/>
        </w:numPr>
        <w:spacing w:line="278" w:lineRule="auto"/>
        <w:rPr>
          <w:rFonts w:ascii="Calibri" w:hAnsi="Calibri" w:cs="Calibri"/>
        </w:rPr>
      </w:pPr>
      <w:r w:rsidRPr="00065C0E">
        <w:rPr>
          <w:rFonts w:ascii="Calibri" w:hAnsi="Calibri" w:cs="Calibri"/>
          <w:b/>
          <w:bCs/>
        </w:rPr>
        <w:t>Goal Setting:</w:t>
      </w:r>
      <w:r w:rsidRPr="00065C0E">
        <w:rPr>
          <w:rFonts w:ascii="Calibri" w:hAnsi="Calibri" w:cs="Calibri"/>
        </w:rPr>
        <w:t xml:space="preserve"> Clarify the participant’s housing and support goals in their NDIS plan.</w:t>
      </w:r>
    </w:p>
    <w:p w14:paraId="64EB2FDB" w14:textId="77777777" w:rsidR="00C90595" w:rsidRPr="00065C0E" w:rsidRDefault="00C90595" w:rsidP="00FE0023">
      <w:pPr>
        <w:numPr>
          <w:ilvl w:val="0"/>
          <w:numId w:val="30"/>
        </w:numPr>
        <w:spacing w:line="278" w:lineRule="auto"/>
        <w:rPr>
          <w:rFonts w:ascii="Calibri" w:hAnsi="Calibri" w:cs="Calibri"/>
        </w:rPr>
      </w:pPr>
      <w:r w:rsidRPr="00065C0E">
        <w:rPr>
          <w:rFonts w:ascii="Calibri" w:hAnsi="Calibri" w:cs="Calibri"/>
          <w:b/>
          <w:bCs/>
        </w:rPr>
        <w:t>Skill Development:</w:t>
      </w:r>
      <w:r w:rsidRPr="00065C0E">
        <w:rPr>
          <w:rFonts w:ascii="Calibri" w:hAnsi="Calibri" w:cs="Calibri"/>
        </w:rPr>
        <w:t xml:space="preserve"> Use short-term or medium-term accommodation (STA/MTA) as a stepping stone to build daily living skills and confidence.</w:t>
      </w:r>
    </w:p>
    <w:p w14:paraId="2D97C4D8" w14:textId="77777777" w:rsidR="00C90595" w:rsidRPr="00065C0E" w:rsidRDefault="00C90595" w:rsidP="00FE0023">
      <w:pPr>
        <w:numPr>
          <w:ilvl w:val="0"/>
          <w:numId w:val="30"/>
        </w:numPr>
        <w:spacing w:line="278" w:lineRule="auto"/>
        <w:rPr>
          <w:rFonts w:ascii="Calibri" w:hAnsi="Calibri" w:cs="Calibri"/>
        </w:rPr>
      </w:pPr>
      <w:r w:rsidRPr="00065C0E">
        <w:rPr>
          <w:rFonts w:ascii="Calibri" w:hAnsi="Calibri" w:cs="Calibri"/>
          <w:b/>
          <w:bCs/>
        </w:rPr>
        <w:t>Support Coordination:</w:t>
      </w:r>
      <w:r w:rsidRPr="00065C0E">
        <w:rPr>
          <w:rFonts w:ascii="Calibri" w:hAnsi="Calibri" w:cs="Calibri"/>
        </w:rPr>
        <w:t xml:space="preserve"> Engage a support coordinator to help navigate the process, gather documentation, and liaise with providers.</w:t>
      </w:r>
    </w:p>
    <w:p w14:paraId="3267559B" w14:textId="77777777" w:rsidR="00C90595" w:rsidRPr="00065C0E" w:rsidRDefault="00C90595" w:rsidP="00FE0023">
      <w:pPr>
        <w:numPr>
          <w:ilvl w:val="0"/>
          <w:numId w:val="30"/>
        </w:numPr>
        <w:spacing w:line="278" w:lineRule="auto"/>
        <w:rPr>
          <w:rFonts w:ascii="Calibri" w:hAnsi="Calibri" w:cs="Calibri"/>
        </w:rPr>
      </w:pPr>
      <w:r w:rsidRPr="00065C0E">
        <w:rPr>
          <w:rFonts w:ascii="Calibri" w:hAnsi="Calibri" w:cs="Calibri"/>
          <w:b/>
          <w:bCs/>
        </w:rPr>
        <w:t>Trial and Adjustment:</w:t>
      </w:r>
      <w:r w:rsidRPr="00065C0E">
        <w:rPr>
          <w:rFonts w:ascii="Calibri" w:hAnsi="Calibri" w:cs="Calibri"/>
        </w:rPr>
        <w:t xml:space="preserve"> Consider trial stays or gradual transitions to ensure the new environment is suitable.</w:t>
      </w:r>
    </w:p>
    <w:p w14:paraId="2530FC4B" w14:textId="77777777" w:rsidR="00C90595" w:rsidRPr="00FE0023" w:rsidRDefault="00C90595" w:rsidP="005D2941">
      <w:pPr>
        <w:rPr>
          <w:b/>
          <w:bCs/>
          <w:u w:val="single"/>
        </w:rPr>
      </w:pPr>
    </w:p>
    <w:p w14:paraId="0F594BC0" w14:textId="2E66F283" w:rsidR="00C90595" w:rsidRPr="00065C0E" w:rsidRDefault="00FE0023" w:rsidP="00C90595">
      <w:pPr>
        <w:spacing w:after="160" w:line="278" w:lineRule="auto"/>
        <w:rPr>
          <w:rFonts w:cstheme="minorHAnsi"/>
          <w:b/>
          <w:bCs/>
          <w:u w:val="single"/>
        </w:rPr>
      </w:pPr>
      <w:r w:rsidRPr="00FE0023">
        <w:rPr>
          <w:rFonts w:cstheme="minorHAnsi"/>
          <w:b/>
          <w:bCs/>
          <w:u w:val="single"/>
        </w:rPr>
        <w:t>TRANSITIONING PARTICIPANTS TO ANOTHER PROVIDER</w:t>
      </w:r>
    </w:p>
    <w:p w14:paraId="52431648" w14:textId="77777777" w:rsidR="00BE7260" w:rsidRPr="00BE7260" w:rsidRDefault="00BE7260" w:rsidP="00BE7260">
      <w:pPr>
        <w:spacing w:line="278" w:lineRule="auto"/>
        <w:rPr>
          <w:rFonts w:cstheme="minorHAnsi"/>
        </w:rPr>
      </w:pPr>
      <w:r w:rsidRPr="00BE7260">
        <w:rPr>
          <w:rFonts w:cstheme="minorHAnsi"/>
        </w:rPr>
        <w:t>When a participant exits AmeCare services, they will be provided with advice and support throughout the process. With the participant’s consent, they will be referred to other providers and/or relevant information will be provided by AmeCare to the new service provided to support the participant’s seamless transition. Meetings may be arranged between AmeCare staff and the staff of the new service provider to facilitate a smooth transition for the participant.</w:t>
      </w:r>
    </w:p>
    <w:p w14:paraId="4E95E2C2" w14:textId="77777777" w:rsidR="00BE7260" w:rsidRDefault="00BE7260" w:rsidP="00FE0023">
      <w:pPr>
        <w:spacing w:line="278" w:lineRule="auto"/>
        <w:rPr>
          <w:rFonts w:cstheme="minorHAnsi"/>
        </w:rPr>
      </w:pPr>
    </w:p>
    <w:p w14:paraId="4FBFADE9" w14:textId="006C1CB4" w:rsidR="00C90595" w:rsidRDefault="00FE0023" w:rsidP="00FE0023">
      <w:pPr>
        <w:spacing w:line="278" w:lineRule="auto"/>
        <w:rPr>
          <w:rFonts w:cstheme="minorHAnsi"/>
        </w:rPr>
      </w:pPr>
      <w:r>
        <w:rPr>
          <w:rFonts w:cstheme="minorHAnsi"/>
        </w:rPr>
        <w:t xml:space="preserve">AmeCare will </w:t>
      </w:r>
      <w:r w:rsidR="00C90595" w:rsidRPr="00065C0E">
        <w:rPr>
          <w:rFonts w:cstheme="minorHAnsi"/>
        </w:rPr>
        <w:t xml:space="preserve">ensure that transitions from Support Coordination, Specialist Support Coordination, Outreach/Community Supports, and Assistance with Daily Living Supports to another provider are safe, person-centered, and compliant with all NDIS Practice Standards and organizational </w:t>
      </w:r>
      <w:r w:rsidRPr="00065C0E">
        <w:rPr>
          <w:rFonts w:cstheme="minorHAnsi"/>
        </w:rPr>
        <w:t>obligations.</w:t>
      </w:r>
    </w:p>
    <w:p w14:paraId="738D366A" w14:textId="77777777" w:rsidR="00FE0023" w:rsidRPr="00065C0E" w:rsidRDefault="00FE0023" w:rsidP="00FE0023">
      <w:pPr>
        <w:spacing w:line="278" w:lineRule="auto"/>
        <w:rPr>
          <w:rFonts w:cstheme="minorHAnsi"/>
        </w:rPr>
      </w:pPr>
    </w:p>
    <w:p w14:paraId="077FB2C4" w14:textId="77777777" w:rsidR="00C90595" w:rsidRPr="00065C0E" w:rsidRDefault="00C90595" w:rsidP="00FE0023">
      <w:pPr>
        <w:spacing w:line="278" w:lineRule="auto"/>
        <w:rPr>
          <w:rFonts w:cstheme="minorHAnsi"/>
          <w:b/>
          <w:bCs/>
        </w:rPr>
      </w:pPr>
      <w:r w:rsidRPr="00065C0E">
        <w:rPr>
          <w:rFonts w:cstheme="minorHAnsi"/>
          <w:b/>
          <w:bCs/>
        </w:rPr>
        <w:t>1. Transition Planning</w:t>
      </w:r>
    </w:p>
    <w:p w14:paraId="48F9CAFD" w14:textId="77777777" w:rsidR="00C90595" w:rsidRPr="00065C0E" w:rsidRDefault="00C90595" w:rsidP="00FE0023">
      <w:pPr>
        <w:numPr>
          <w:ilvl w:val="0"/>
          <w:numId w:val="31"/>
        </w:numPr>
        <w:spacing w:line="278" w:lineRule="auto"/>
        <w:rPr>
          <w:rFonts w:cstheme="minorHAnsi"/>
        </w:rPr>
      </w:pPr>
      <w:r w:rsidRPr="00065C0E">
        <w:rPr>
          <w:rFonts w:cstheme="minorHAnsi"/>
        </w:rPr>
        <w:t>Begin transition planning as early as possible, involving the participant, their support network, and relevant providers.</w:t>
      </w:r>
    </w:p>
    <w:p w14:paraId="31ED382F" w14:textId="77777777" w:rsidR="00C90595" w:rsidRPr="00065C0E" w:rsidRDefault="00C90595" w:rsidP="00FE0023">
      <w:pPr>
        <w:numPr>
          <w:ilvl w:val="0"/>
          <w:numId w:val="31"/>
        </w:numPr>
        <w:spacing w:line="278" w:lineRule="auto"/>
        <w:rPr>
          <w:rFonts w:cstheme="minorHAnsi"/>
        </w:rPr>
      </w:pPr>
      <w:r w:rsidRPr="00065C0E">
        <w:rPr>
          <w:rFonts w:cstheme="minorHAnsi"/>
        </w:rPr>
        <w:t>Review the current service agreement for notice periods, exit clauses, and obligations.</w:t>
      </w:r>
    </w:p>
    <w:p w14:paraId="7491289B" w14:textId="77777777" w:rsidR="00C90595" w:rsidRDefault="00C90595" w:rsidP="00FE0023">
      <w:pPr>
        <w:numPr>
          <w:ilvl w:val="0"/>
          <w:numId w:val="31"/>
        </w:numPr>
        <w:spacing w:line="278" w:lineRule="auto"/>
        <w:rPr>
          <w:rFonts w:cstheme="minorHAnsi"/>
        </w:rPr>
      </w:pPr>
      <w:r w:rsidRPr="00065C0E">
        <w:rPr>
          <w:rFonts w:cstheme="minorHAnsi"/>
        </w:rPr>
        <w:t>With participant consent, share relevant information with the new provider to support a seamless transition.</w:t>
      </w:r>
    </w:p>
    <w:p w14:paraId="244A112D" w14:textId="77777777" w:rsidR="00FE0023" w:rsidRPr="00065C0E" w:rsidRDefault="00FE0023" w:rsidP="00FE0023">
      <w:pPr>
        <w:spacing w:line="278" w:lineRule="auto"/>
        <w:ind w:left="720"/>
        <w:rPr>
          <w:rFonts w:cstheme="minorHAnsi"/>
        </w:rPr>
      </w:pPr>
    </w:p>
    <w:p w14:paraId="7FCFB1B9" w14:textId="77777777" w:rsidR="00C90595" w:rsidRPr="00065C0E" w:rsidRDefault="00C90595" w:rsidP="00FE0023">
      <w:pPr>
        <w:spacing w:line="278" w:lineRule="auto"/>
        <w:rPr>
          <w:rFonts w:cstheme="minorHAnsi"/>
          <w:b/>
          <w:bCs/>
        </w:rPr>
      </w:pPr>
      <w:r w:rsidRPr="00065C0E">
        <w:rPr>
          <w:rFonts w:cstheme="minorHAnsi"/>
          <w:b/>
          <w:bCs/>
        </w:rPr>
        <w:t>2. Communication and Consent</w:t>
      </w:r>
    </w:p>
    <w:p w14:paraId="5DE20A4E" w14:textId="77777777" w:rsidR="00C90595" w:rsidRPr="00065C0E" w:rsidRDefault="00C90595" w:rsidP="00FE0023">
      <w:pPr>
        <w:numPr>
          <w:ilvl w:val="0"/>
          <w:numId w:val="32"/>
        </w:numPr>
        <w:spacing w:line="278" w:lineRule="auto"/>
        <w:rPr>
          <w:rFonts w:cstheme="minorHAnsi"/>
        </w:rPr>
      </w:pPr>
      <w:r w:rsidRPr="00065C0E">
        <w:rPr>
          <w:rFonts w:cstheme="minorHAnsi"/>
        </w:rPr>
        <w:t>Obtain and document participant (or guardian/carer) consent for all information sharing during transitions.</w:t>
      </w:r>
    </w:p>
    <w:p w14:paraId="43B2352B" w14:textId="77777777" w:rsidR="00C90595" w:rsidRDefault="00C90595" w:rsidP="00FE0023">
      <w:pPr>
        <w:numPr>
          <w:ilvl w:val="0"/>
          <w:numId w:val="32"/>
        </w:numPr>
        <w:spacing w:line="278" w:lineRule="auto"/>
        <w:rPr>
          <w:rFonts w:cstheme="minorHAnsi"/>
        </w:rPr>
      </w:pPr>
      <w:r w:rsidRPr="00065C0E">
        <w:rPr>
          <w:rFonts w:cstheme="minorHAnsi"/>
        </w:rPr>
        <w:t>Maintain ongoing communication with all stakeholders, including the participant, family/support network, NDIS plan manager, and other providers.</w:t>
      </w:r>
    </w:p>
    <w:p w14:paraId="31DC0892" w14:textId="77777777" w:rsidR="00FE0023" w:rsidRPr="00065C0E" w:rsidRDefault="00FE0023" w:rsidP="00FE0023">
      <w:pPr>
        <w:spacing w:line="278" w:lineRule="auto"/>
        <w:ind w:left="720"/>
        <w:rPr>
          <w:rFonts w:cstheme="minorHAnsi"/>
        </w:rPr>
      </w:pPr>
    </w:p>
    <w:p w14:paraId="26AE7C81" w14:textId="77777777" w:rsidR="00C90595" w:rsidRPr="00065C0E" w:rsidRDefault="00C90595" w:rsidP="00FE0023">
      <w:pPr>
        <w:spacing w:line="278" w:lineRule="auto"/>
        <w:rPr>
          <w:rFonts w:cstheme="minorHAnsi"/>
          <w:b/>
          <w:bCs/>
        </w:rPr>
      </w:pPr>
      <w:r w:rsidRPr="00065C0E">
        <w:rPr>
          <w:rFonts w:cstheme="minorHAnsi"/>
          <w:b/>
          <w:bCs/>
        </w:rPr>
        <w:t>3. Documentation and Handover</w:t>
      </w:r>
    </w:p>
    <w:p w14:paraId="0EEB1817" w14:textId="77777777" w:rsidR="00C90595" w:rsidRPr="00065C0E" w:rsidRDefault="00C90595" w:rsidP="00FE0023">
      <w:pPr>
        <w:numPr>
          <w:ilvl w:val="0"/>
          <w:numId w:val="33"/>
        </w:numPr>
        <w:spacing w:line="278" w:lineRule="auto"/>
        <w:rPr>
          <w:rFonts w:cstheme="minorHAnsi"/>
        </w:rPr>
      </w:pPr>
      <w:r w:rsidRPr="00065C0E">
        <w:rPr>
          <w:rFonts w:cstheme="minorHAnsi"/>
        </w:rPr>
        <w:t>Prepare a handover report outlining progress, barriers, risks, and future support needs.</w:t>
      </w:r>
    </w:p>
    <w:p w14:paraId="6C07D8CF" w14:textId="77777777" w:rsidR="00C90595" w:rsidRPr="00065C0E" w:rsidRDefault="00C90595" w:rsidP="00FE0023">
      <w:pPr>
        <w:numPr>
          <w:ilvl w:val="0"/>
          <w:numId w:val="33"/>
        </w:numPr>
        <w:spacing w:line="278" w:lineRule="auto"/>
        <w:rPr>
          <w:rFonts w:cstheme="minorHAnsi"/>
        </w:rPr>
      </w:pPr>
      <w:r w:rsidRPr="00065C0E">
        <w:rPr>
          <w:rFonts w:cstheme="minorHAnsi"/>
        </w:rPr>
        <w:t>Ensure all relevant documentation—support plans, medical records, equipment lists, incident reports, and medication charts—is transferred to the new provider.</w:t>
      </w:r>
    </w:p>
    <w:p w14:paraId="04156EB8" w14:textId="77777777" w:rsidR="00C90595" w:rsidRDefault="00C90595" w:rsidP="00FE0023">
      <w:pPr>
        <w:numPr>
          <w:ilvl w:val="0"/>
          <w:numId w:val="33"/>
        </w:numPr>
        <w:spacing w:line="278" w:lineRule="auto"/>
        <w:rPr>
          <w:rFonts w:cstheme="minorHAnsi"/>
        </w:rPr>
      </w:pPr>
      <w:r w:rsidRPr="00065C0E">
        <w:rPr>
          <w:rFonts w:cstheme="minorHAnsi"/>
        </w:rPr>
        <w:t>Record all transition activities, meetings, and decisions in the Participant Support Plan and relevant forms (e.g., Individual Risk Assessment, Participant Exit Form).</w:t>
      </w:r>
    </w:p>
    <w:p w14:paraId="2056FBE4" w14:textId="77777777" w:rsidR="00FE0023" w:rsidRPr="00065C0E" w:rsidRDefault="00FE0023" w:rsidP="00FE0023">
      <w:pPr>
        <w:spacing w:line="278" w:lineRule="auto"/>
        <w:ind w:left="720"/>
        <w:rPr>
          <w:rFonts w:cstheme="minorHAnsi"/>
        </w:rPr>
      </w:pPr>
    </w:p>
    <w:p w14:paraId="45454383" w14:textId="77777777" w:rsidR="00C90595" w:rsidRPr="00065C0E" w:rsidRDefault="00C90595" w:rsidP="00FE0023">
      <w:pPr>
        <w:spacing w:line="278" w:lineRule="auto"/>
        <w:rPr>
          <w:rFonts w:cstheme="minorHAnsi"/>
          <w:b/>
          <w:bCs/>
        </w:rPr>
      </w:pPr>
      <w:r w:rsidRPr="00065C0E">
        <w:rPr>
          <w:rFonts w:cstheme="minorHAnsi"/>
          <w:b/>
          <w:bCs/>
        </w:rPr>
        <w:t>4. Risk Assessment</w:t>
      </w:r>
    </w:p>
    <w:p w14:paraId="446EAF39" w14:textId="10C34229" w:rsidR="00FE0023" w:rsidRDefault="00C90595" w:rsidP="00BE7260">
      <w:pPr>
        <w:numPr>
          <w:ilvl w:val="0"/>
          <w:numId w:val="34"/>
        </w:numPr>
        <w:spacing w:line="278" w:lineRule="auto"/>
        <w:rPr>
          <w:rFonts w:cstheme="minorHAnsi"/>
        </w:rPr>
      </w:pPr>
      <w:r w:rsidRPr="00065C0E">
        <w:rPr>
          <w:rFonts w:cstheme="minorHAnsi"/>
        </w:rPr>
        <w:t xml:space="preserve">Conduct and document a risk assessment specific to the transition, addressing environmental, </w:t>
      </w:r>
      <w:r w:rsidR="00FE0023" w:rsidRPr="00065C0E">
        <w:rPr>
          <w:rFonts w:cstheme="minorHAnsi"/>
        </w:rPr>
        <w:t>behavioural</w:t>
      </w:r>
      <w:r w:rsidRPr="00065C0E">
        <w:rPr>
          <w:rFonts w:cstheme="minorHAnsi"/>
        </w:rPr>
        <w:t>, and health risks.</w:t>
      </w:r>
    </w:p>
    <w:p w14:paraId="4B939D9D" w14:textId="77777777" w:rsidR="00BE7260" w:rsidRPr="00065C0E" w:rsidRDefault="00BE7260" w:rsidP="00BE7260">
      <w:pPr>
        <w:spacing w:line="278" w:lineRule="auto"/>
        <w:ind w:left="720"/>
        <w:rPr>
          <w:rFonts w:cstheme="minorHAnsi"/>
        </w:rPr>
      </w:pPr>
    </w:p>
    <w:p w14:paraId="4C4F28C3" w14:textId="77777777" w:rsidR="00C90595" w:rsidRPr="00065C0E" w:rsidRDefault="00C90595" w:rsidP="00FE0023">
      <w:pPr>
        <w:spacing w:line="278" w:lineRule="auto"/>
        <w:rPr>
          <w:rFonts w:cstheme="minorHAnsi"/>
          <w:b/>
          <w:bCs/>
        </w:rPr>
      </w:pPr>
      <w:r w:rsidRPr="00065C0E">
        <w:rPr>
          <w:rFonts w:cstheme="minorHAnsi"/>
          <w:b/>
          <w:bCs/>
        </w:rPr>
        <w:t>5. Service Booking and Agreement Closure</w:t>
      </w:r>
    </w:p>
    <w:p w14:paraId="13DB8CAC" w14:textId="77777777" w:rsidR="00C90595" w:rsidRPr="00065C0E" w:rsidRDefault="00C90595" w:rsidP="00FE0023">
      <w:pPr>
        <w:numPr>
          <w:ilvl w:val="0"/>
          <w:numId w:val="35"/>
        </w:numPr>
        <w:spacing w:line="278" w:lineRule="auto"/>
        <w:rPr>
          <w:rFonts w:cstheme="minorHAnsi"/>
        </w:rPr>
      </w:pPr>
      <w:r w:rsidRPr="00065C0E">
        <w:rPr>
          <w:rFonts w:cstheme="minorHAnsi"/>
        </w:rPr>
        <w:t>End the service booking in the NDIS portal so the participant can create a new agreement and booking with the incoming provider.</w:t>
      </w:r>
    </w:p>
    <w:p w14:paraId="68B04F11" w14:textId="77777777" w:rsidR="00C90595" w:rsidRDefault="00C90595" w:rsidP="00FE0023">
      <w:pPr>
        <w:numPr>
          <w:ilvl w:val="0"/>
          <w:numId w:val="35"/>
        </w:numPr>
        <w:spacing w:line="278" w:lineRule="auto"/>
        <w:rPr>
          <w:rFonts w:cstheme="minorHAnsi"/>
        </w:rPr>
      </w:pPr>
      <w:r w:rsidRPr="00065C0E">
        <w:rPr>
          <w:rFonts w:cstheme="minorHAnsi"/>
        </w:rPr>
        <w:t>Review and formally close the service agreement, ensuring all obligations are met and final statements provided to the participant.</w:t>
      </w:r>
    </w:p>
    <w:p w14:paraId="5C3D5DDD" w14:textId="77777777" w:rsidR="00FE0023" w:rsidRPr="00065C0E" w:rsidRDefault="00FE0023" w:rsidP="00FE0023">
      <w:pPr>
        <w:spacing w:line="278" w:lineRule="auto"/>
        <w:ind w:left="720"/>
        <w:rPr>
          <w:rFonts w:cstheme="minorHAnsi"/>
        </w:rPr>
      </w:pPr>
    </w:p>
    <w:p w14:paraId="4ED61BF0" w14:textId="77777777" w:rsidR="00C90595" w:rsidRPr="00065C0E" w:rsidRDefault="00C90595" w:rsidP="00FE0023">
      <w:pPr>
        <w:spacing w:line="278" w:lineRule="auto"/>
        <w:rPr>
          <w:rFonts w:cstheme="minorHAnsi"/>
          <w:b/>
          <w:bCs/>
        </w:rPr>
      </w:pPr>
      <w:r w:rsidRPr="00065C0E">
        <w:rPr>
          <w:rFonts w:cstheme="minorHAnsi"/>
          <w:b/>
          <w:bCs/>
        </w:rPr>
        <w:t>6. Review and Feedback</w:t>
      </w:r>
    </w:p>
    <w:p w14:paraId="06FA9B16" w14:textId="77777777" w:rsidR="00C90595" w:rsidRPr="00065C0E" w:rsidRDefault="00C90595" w:rsidP="00FE0023">
      <w:pPr>
        <w:numPr>
          <w:ilvl w:val="0"/>
          <w:numId w:val="36"/>
        </w:numPr>
        <w:spacing w:line="278" w:lineRule="auto"/>
        <w:rPr>
          <w:rFonts w:cstheme="minorHAnsi"/>
        </w:rPr>
      </w:pPr>
      <w:r w:rsidRPr="00065C0E">
        <w:rPr>
          <w:rFonts w:cstheme="minorHAnsi"/>
        </w:rPr>
        <w:t>Offer an exit meeting to review support outcomes and discuss the transition plan.</w:t>
      </w:r>
    </w:p>
    <w:p w14:paraId="25EA15BC" w14:textId="1182116B" w:rsidR="00FE0023" w:rsidRPr="00065C0E" w:rsidRDefault="00C90595" w:rsidP="00BE7260">
      <w:pPr>
        <w:numPr>
          <w:ilvl w:val="0"/>
          <w:numId w:val="36"/>
        </w:numPr>
        <w:spacing w:line="278" w:lineRule="auto"/>
        <w:rPr>
          <w:rFonts w:cstheme="minorHAnsi"/>
        </w:rPr>
      </w:pPr>
      <w:r w:rsidRPr="00065C0E">
        <w:rPr>
          <w:rFonts w:cstheme="minorHAnsi"/>
        </w:rPr>
        <w:lastRenderedPageBreak/>
        <w:t>Collect feedback from the participant and support network to inform future support and improve transition processes.</w:t>
      </w:r>
    </w:p>
    <w:p w14:paraId="2630265B" w14:textId="77777777" w:rsidR="00C90595" w:rsidRPr="00065C0E" w:rsidRDefault="00C90595" w:rsidP="00BE7260">
      <w:pPr>
        <w:numPr>
          <w:ilvl w:val="0"/>
          <w:numId w:val="39"/>
        </w:numPr>
        <w:spacing w:line="278" w:lineRule="auto"/>
        <w:rPr>
          <w:rFonts w:cstheme="minorHAnsi"/>
        </w:rPr>
      </w:pPr>
      <w:r w:rsidRPr="00065C0E">
        <w:rPr>
          <w:rFonts w:cstheme="minorHAnsi"/>
        </w:rPr>
        <w:t>Actively seek feedback from participants and their support networks regarding their experience of the transition process.</w:t>
      </w:r>
    </w:p>
    <w:p w14:paraId="203C3F36" w14:textId="77777777" w:rsidR="00C90595" w:rsidRPr="00065C0E" w:rsidRDefault="00C90595" w:rsidP="00BE7260">
      <w:pPr>
        <w:numPr>
          <w:ilvl w:val="0"/>
          <w:numId w:val="39"/>
        </w:numPr>
        <w:spacing w:line="278" w:lineRule="auto"/>
        <w:rPr>
          <w:rFonts w:cstheme="minorHAnsi"/>
        </w:rPr>
      </w:pPr>
      <w:r w:rsidRPr="00065C0E">
        <w:rPr>
          <w:rFonts w:cstheme="minorHAnsi"/>
        </w:rPr>
        <w:t>Use surveys, interviews, or feedback forms to gather insights on what worked well and what could be improved.</w:t>
      </w:r>
    </w:p>
    <w:p w14:paraId="4251BF67" w14:textId="77777777" w:rsidR="00C90595" w:rsidRPr="00065C0E" w:rsidRDefault="00C90595" w:rsidP="00BE7260">
      <w:pPr>
        <w:numPr>
          <w:ilvl w:val="0"/>
          <w:numId w:val="39"/>
        </w:numPr>
        <w:spacing w:line="278" w:lineRule="auto"/>
        <w:rPr>
          <w:rFonts w:cstheme="minorHAnsi"/>
        </w:rPr>
      </w:pPr>
      <w:r w:rsidRPr="00065C0E">
        <w:rPr>
          <w:rFonts w:cstheme="minorHAnsi"/>
        </w:rPr>
        <w:t>Document all feedback and ensure it is reviewed by management and relevant teams.</w:t>
      </w:r>
    </w:p>
    <w:p w14:paraId="5528A284" w14:textId="77777777" w:rsidR="00C90595" w:rsidRPr="00065C0E" w:rsidRDefault="00C90595" w:rsidP="00BE7260">
      <w:pPr>
        <w:numPr>
          <w:ilvl w:val="0"/>
          <w:numId w:val="39"/>
        </w:numPr>
        <w:spacing w:line="278" w:lineRule="auto"/>
        <w:rPr>
          <w:rFonts w:cstheme="minorHAnsi"/>
        </w:rPr>
      </w:pPr>
      <w:r w:rsidRPr="00065C0E">
        <w:rPr>
          <w:rFonts w:cstheme="minorHAnsi"/>
        </w:rPr>
        <w:t>Incorporate participant suggestions into future transition planning and policy updates to promote continuous improvement.</w:t>
      </w:r>
    </w:p>
    <w:p w14:paraId="12EF8277" w14:textId="77777777" w:rsidR="00C90595" w:rsidRPr="00065C0E" w:rsidRDefault="00C90595" w:rsidP="00BE7260">
      <w:pPr>
        <w:numPr>
          <w:ilvl w:val="0"/>
          <w:numId w:val="39"/>
        </w:numPr>
        <w:spacing w:line="278" w:lineRule="auto"/>
        <w:rPr>
          <w:rFonts w:cstheme="minorHAnsi"/>
        </w:rPr>
      </w:pPr>
      <w:r w:rsidRPr="00065C0E">
        <w:rPr>
          <w:rFonts w:cstheme="minorHAnsi"/>
        </w:rPr>
        <w:t>Ensure participants feel heard and valued, and communicate any resulting changes or improvements back to them.</w:t>
      </w:r>
    </w:p>
    <w:p w14:paraId="66778347" w14:textId="77777777" w:rsidR="00C90595" w:rsidRDefault="00C90595" w:rsidP="005D2941">
      <w:pPr>
        <w:rPr>
          <w:b/>
          <w:bCs/>
          <w:u w:val="single"/>
        </w:rPr>
      </w:pPr>
    </w:p>
    <w:p w14:paraId="24E219E2" w14:textId="77777777" w:rsidR="00BE7260" w:rsidRDefault="00BE7260" w:rsidP="005D2941">
      <w:pPr>
        <w:rPr>
          <w:b/>
          <w:bCs/>
          <w:u w:val="single"/>
        </w:rPr>
      </w:pPr>
    </w:p>
    <w:p w14:paraId="592953FB" w14:textId="189B9CFB" w:rsidR="005D2941" w:rsidRPr="005047A7" w:rsidRDefault="005D2941" w:rsidP="005D2941">
      <w:pPr>
        <w:rPr>
          <w:b/>
          <w:bCs/>
          <w:u w:val="single"/>
        </w:rPr>
      </w:pPr>
      <w:r w:rsidRPr="005047A7">
        <w:rPr>
          <w:b/>
          <w:bCs/>
          <w:u w:val="single"/>
        </w:rPr>
        <w:t>TRANSITION TO/FROM HOSPITALS</w:t>
      </w:r>
    </w:p>
    <w:p w14:paraId="2187AA2A" w14:textId="77777777" w:rsidR="005D2941" w:rsidRPr="005047A7" w:rsidRDefault="005D2941" w:rsidP="00025B2F">
      <w:pPr>
        <w:rPr>
          <w:color w:val="000000" w:themeColor="text1"/>
        </w:rPr>
      </w:pPr>
    </w:p>
    <w:p w14:paraId="6C97C8E6" w14:textId="77777777" w:rsidR="005D2941" w:rsidRPr="00BE7260" w:rsidRDefault="005D2941" w:rsidP="005D2941">
      <w:pPr>
        <w:rPr>
          <w:b/>
          <w:bCs/>
          <w:color w:val="000000" w:themeColor="text1"/>
        </w:rPr>
      </w:pPr>
      <w:r w:rsidRPr="00BE7260">
        <w:rPr>
          <w:b/>
          <w:bCs/>
          <w:color w:val="000000" w:themeColor="text1"/>
        </w:rPr>
        <w:t>Preparing for a Planned Hospital Admission</w:t>
      </w:r>
    </w:p>
    <w:p w14:paraId="16030FE0" w14:textId="77777777" w:rsidR="005D2941" w:rsidRPr="005047A7" w:rsidRDefault="005D2941" w:rsidP="005D2941">
      <w:pPr>
        <w:rPr>
          <w:color w:val="000000" w:themeColor="text1"/>
        </w:rPr>
      </w:pPr>
    </w:p>
    <w:p w14:paraId="0E84C2A5" w14:textId="77777777" w:rsidR="005D2941" w:rsidRPr="005047A7" w:rsidRDefault="005D2941" w:rsidP="005D2941">
      <w:pPr>
        <w:rPr>
          <w:color w:val="000000" w:themeColor="text1"/>
        </w:rPr>
      </w:pPr>
      <w:r w:rsidRPr="005047A7">
        <w:rPr>
          <w:color w:val="000000" w:themeColor="text1"/>
        </w:rPr>
        <w:t>To support participants effectively during a planned hospital admission, support staff must take the following steps:</w:t>
      </w:r>
    </w:p>
    <w:p w14:paraId="162BE53F" w14:textId="77777777" w:rsidR="005D2941" w:rsidRPr="005047A7" w:rsidRDefault="005D2941" w:rsidP="005D2941">
      <w:pPr>
        <w:rPr>
          <w:color w:val="000000" w:themeColor="text1"/>
        </w:rPr>
      </w:pPr>
    </w:p>
    <w:p w14:paraId="2D06694B" w14:textId="77777777" w:rsidR="005D2941" w:rsidRPr="005047A7" w:rsidRDefault="005D2941" w:rsidP="005D2941">
      <w:pPr>
        <w:pStyle w:val="ListParagraph"/>
        <w:numPr>
          <w:ilvl w:val="0"/>
          <w:numId w:val="11"/>
        </w:numPr>
        <w:rPr>
          <w:color w:val="000000" w:themeColor="text1"/>
        </w:rPr>
      </w:pPr>
      <w:r w:rsidRPr="005047A7">
        <w:rPr>
          <w:color w:val="000000" w:themeColor="text1"/>
        </w:rPr>
        <w:t>Arrange a Pre-Admission Meeting</w:t>
      </w:r>
    </w:p>
    <w:p w14:paraId="6A02400E" w14:textId="77777777" w:rsidR="005D2941" w:rsidRPr="005047A7" w:rsidRDefault="005D2941" w:rsidP="005D2941">
      <w:pPr>
        <w:pStyle w:val="ListParagraph"/>
        <w:numPr>
          <w:ilvl w:val="0"/>
          <w:numId w:val="10"/>
        </w:numPr>
        <w:rPr>
          <w:color w:val="000000" w:themeColor="text1"/>
        </w:rPr>
      </w:pPr>
      <w:r w:rsidRPr="005047A7">
        <w:rPr>
          <w:color w:val="000000" w:themeColor="text1"/>
        </w:rPr>
        <w:t>Schedule a pre-admission meeting involving the participant, hospital staff, disability support staff, and, if possible, the participant’s support network (e.g., family or friends). This meeting will help coordinate the transition of care and ensure everyone is aligned.</w:t>
      </w:r>
    </w:p>
    <w:p w14:paraId="736042CF" w14:textId="77777777" w:rsidR="005D2941" w:rsidRPr="005047A7" w:rsidRDefault="005D2941" w:rsidP="005D2941">
      <w:pPr>
        <w:pStyle w:val="ListParagraph"/>
        <w:numPr>
          <w:ilvl w:val="0"/>
          <w:numId w:val="10"/>
        </w:numPr>
        <w:rPr>
          <w:color w:val="000000" w:themeColor="text1"/>
        </w:rPr>
      </w:pPr>
      <w:r w:rsidRPr="005047A7">
        <w:rPr>
          <w:color w:val="000000" w:themeColor="text1"/>
        </w:rPr>
        <w:t>During the meeting, provide hospital staff with detailed information about the participant’s needs, including communication requirements, mobility and physical support needs, nutrition and mealtime management, and any behaviour support strategies.</w:t>
      </w:r>
    </w:p>
    <w:p w14:paraId="4EEFE45A" w14:textId="77777777" w:rsidR="005D2941" w:rsidRPr="005047A7" w:rsidRDefault="005D2941" w:rsidP="005D2941">
      <w:pPr>
        <w:rPr>
          <w:color w:val="000000" w:themeColor="text1"/>
        </w:rPr>
      </w:pPr>
    </w:p>
    <w:p w14:paraId="641832ED" w14:textId="77777777" w:rsidR="005D2941" w:rsidRPr="005047A7" w:rsidRDefault="005D2941" w:rsidP="005D2941">
      <w:pPr>
        <w:pStyle w:val="ListParagraph"/>
        <w:numPr>
          <w:ilvl w:val="0"/>
          <w:numId w:val="11"/>
        </w:numPr>
        <w:rPr>
          <w:color w:val="000000" w:themeColor="text1"/>
        </w:rPr>
      </w:pPr>
      <w:r w:rsidRPr="005047A7">
        <w:rPr>
          <w:color w:val="000000" w:themeColor="text1"/>
        </w:rPr>
        <w:t>Provide Essential Information to Hospital Staff:</w:t>
      </w:r>
    </w:p>
    <w:p w14:paraId="0F668CF6" w14:textId="77777777" w:rsidR="005D2941" w:rsidRPr="005047A7" w:rsidRDefault="005D2941" w:rsidP="005D2941">
      <w:pPr>
        <w:pStyle w:val="ListParagraph"/>
        <w:numPr>
          <w:ilvl w:val="0"/>
          <w:numId w:val="12"/>
        </w:numPr>
        <w:rPr>
          <w:color w:val="000000" w:themeColor="text1"/>
        </w:rPr>
      </w:pPr>
      <w:r w:rsidRPr="005047A7">
        <w:rPr>
          <w:color w:val="000000" w:themeColor="text1"/>
        </w:rPr>
        <w:t>Ensure that the following documents and information are available to hospital staff upon the participant's admission if the participant, guardians or carers have provided their consent to share information:</w:t>
      </w:r>
    </w:p>
    <w:p w14:paraId="182F2EFD" w14:textId="52A09752" w:rsidR="005D2941" w:rsidRPr="005047A7" w:rsidRDefault="005D2941" w:rsidP="005D2941">
      <w:pPr>
        <w:pStyle w:val="ListParagraph"/>
        <w:numPr>
          <w:ilvl w:val="1"/>
          <w:numId w:val="12"/>
        </w:numPr>
        <w:rPr>
          <w:color w:val="000000" w:themeColor="text1"/>
        </w:rPr>
      </w:pPr>
      <w:r w:rsidRPr="005047A7">
        <w:rPr>
          <w:color w:val="000000" w:themeColor="text1"/>
        </w:rPr>
        <w:t>Support Plan tailored to the participant’s specific needs</w:t>
      </w:r>
    </w:p>
    <w:p w14:paraId="652A60DF" w14:textId="77777777" w:rsidR="005D2941" w:rsidRPr="005047A7" w:rsidRDefault="005D2941" w:rsidP="005D2941">
      <w:pPr>
        <w:pStyle w:val="ListParagraph"/>
        <w:numPr>
          <w:ilvl w:val="1"/>
          <w:numId w:val="12"/>
        </w:numPr>
        <w:rPr>
          <w:color w:val="000000" w:themeColor="text1"/>
        </w:rPr>
      </w:pPr>
      <w:r w:rsidRPr="005047A7">
        <w:rPr>
          <w:color w:val="000000" w:themeColor="text1"/>
        </w:rPr>
        <w:t>List of current medications</w:t>
      </w:r>
    </w:p>
    <w:p w14:paraId="25D3375C" w14:textId="77777777" w:rsidR="005D2941" w:rsidRPr="005047A7" w:rsidRDefault="005D2941" w:rsidP="005D2941">
      <w:pPr>
        <w:pStyle w:val="ListParagraph"/>
        <w:numPr>
          <w:ilvl w:val="1"/>
          <w:numId w:val="12"/>
        </w:numPr>
        <w:rPr>
          <w:color w:val="000000" w:themeColor="text1"/>
        </w:rPr>
      </w:pPr>
      <w:r w:rsidRPr="005047A7">
        <w:rPr>
          <w:color w:val="000000" w:themeColor="text1"/>
        </w:rPr>
        <w:t>Webster packs and other required medications</w:t>
      </w:r>
    </w:p>
    <w:p w14:paraId="32FF90ED" w14:textId="77777777" w:rsidR="005D2941" w:rsidRPr="005047A7" w:rsidRDefault="005D2941" w:rsidP="005D2941">
      <w:pPr>
        <w:pStyle w:val="ListParagraph"/>
        <w:numPr>
          <w:ilvl w:val="1"/>
          <w:numId w:val="12"/>
        </w:numPr>
        <w:rPr>
          <w:color w:val="000000" w:themeColor="text1"/>
        </w:rPr>
      </w:pPr>
      <w:r w:rsidRPr="005047A7">
        <w:rPr>
          <w:color w:val="000000" w:themeColor="text1"/>
        </w:rPr>
        <w:t>Health Care Card</w:t>
      </w:r>
    </w:p>
    <w:p w14:paraId="11679909" w14:textId="77777777" w:rsidR="005D2941" w:rsidRPr="005047A7" w:rsidRDefault="005D2941" w:rsidP="005D2941">
      <w:pPr>
        <w:pStyle w:val="ListParagraph"/>
        <w:numPr>
          <w:ilvl w:val="1"/>
          <w:numId w:val="12"/>
        </w:numPr>
        <w:rPr>
          <w:color w:val="000000" w:themeColor="text1"/>
        </w:rPr>
      </w:pPr>
      <w:r w:rsidRPr="005047A7">
        <w:rPr>
          <w:color w:val="000000" w:themeColor="text1"/>
        </w:rPr>
        <w:t>Medicare Card</w:t>
      </w:r>
    </w:p>
    <w:p w14:paraId="4E66A5F1" w14:textId="77777777" w:rsidR="005D2941" w:rsidRPr="005047A7" w:rsidRDefault="005D2941" w:rsidP="00025B2F">
      <w:pPr>
        <w:pStyle w:val="ListParagraph"/>
        <w:numPr>
          <w:ilvl w:val="1"/>
          <w:numId w:val="12"/>
        </w:numPr>
        <w:rPr>
          <w:color w:val="000000" w:themeColor="text1"/>
        </w:rPr>
      </w:pPr>
      <w:r w:rsidRPr="005047A7">
        <w:rPr>
          <w:color w:val="000000" w:themeColor="text1"/>
        </w:rPr>
        <w:t>Behaviour Support Plan</w:t>
      </w:r>
    </w:p>
    <w:p w14:paraId="52F8E6D1" w14:textId="77777777" w:rsidR="005D2941" w:rsidRPr="005047A7" w:rsidRDefault="005D2941" w:rsidP="00025B2F">
      <w:pPr>
        <w:rPr>
          <w:color w:val="000000" w:themeColor="text1"/>
        </w:rPr>
      </w:pPr>
    </w:p>
    <w:p w14:paraId="31BBB8B8" w14:textId="77777777" w:rsidR="005D2941" w:rsidRPr="00BE7260" w:rsidRDefault="005D2941" w:rsidP="005D2941">
      <w:pPr>
        <w:rPr>
          <w:b/>
          <w:bCs/>
          <w:color w:val="000000" w:themeColor="text1"/>
        </w:rPr>
      </w:pPr>
      <w:r w:rsidRPr="00BE7260">
        <w:rPr>
          <w:b/>
          <w:bCs/>
          <w:color w:val="000000" w:themeColor="text1"/>
        </w:rPr>
        <w:t>Support During Participant Discharge from the Hospital</w:t>
      </w:r>
    </w:p>
    <w:p w14:paraId="09AA27B0" w14:textId="77777777" w:rsidR="005D2941" w:rsidRPr="005047A7" w:rsidRDefault="005D2941" w:rsidP="005D2941">
      <w:pPr>
        <w:rPr>
          <w:color w:val="000000" w:themeColor="text1"/>
        </w:rPr>
      </w:pPr>
    </w:p>
    <w:p w14:paraId="5FC1514B" w14:textId="77777777" w:rsidR="005D2941" w:rsidRPr="005047A7" w:rsidRDefault="005D2941" w:rsidP="005D2941">
      <w:pPr>
        <w:pStyle w:val="ListParagraph"/>
        <w:numPr>
          <w:ilvl w:val="0"/>
          <w:numId w:val="13"/>
        </w:numPr>
        <w:rPr>
          <w:color w:val="000000" w:themeColor="text1"/>
        </w:rPr>
      </w:pPr>
      <w:r w:rsidRPr="005047A7">
        <w:rPr>
          <w:color w:val="000000" w:themeColor="text1"/>
        </w:rPr>
        <w:t>Planning for Discharge:</w:t>
      </w:r>
    </w:p>
    <w:p w14:paraId="16589998" w14:textId="77777777" w:rsidR="005D2941" w:rsidRPr="005047A7" w:rsidRDefault="005D2941" w:rsidP="005D2941">
      <w:pPr>
        <w:pStyle w:val="ListParagraph"/>
        <w:numPr>
          <w:ilvl w:val="0"/>
          <w:numId w:val="12"/>
        </w:numPr>
        <w:rPr>
          <w:color w:val="000000" w:themeColor="text1"/>
        </w:rPr>
      </w:pPr>
      <w:r w:rsidRPr="005047A7">
        <w:rPr>
          <w:color w:val="000000" w:themeColor="text1"/>
        </w:rPr>
        <w:lastRenderedPageBreak/>
        <w:t>Staff must begin planning for the participant’s discharge from the hospital as early as possible in consultation with health professionals. Key elements to address include:</w:t>
      </w:r>
    </w:p>
    <w:p w14:paraId="60090C8C" w14:textId="77777777" w:rsidR="005D2941" w:rsidRPr="005047A7" w:rsidRDefault="005D2941" w:rsidP="0092646E">
      <w:pPr>
        <w:pStyle w:val="ListParagraph"/>
        <w:numPr>
          <w:ilvl w:val="1"/>
          <w:numId w:val="12"/>
        </w:numPr>
        <w:rPr>
          <w:color w:val="000000" w:themeColor="text1"/>
        </w:rPr>
      </w:pPr>
      <w:r w:rsidRPr="005047A7">
        <w:rPr>
          <w:color w:val="000000" w:themeColor="text1"/>
        </w:rPr>
        <w:t>Estimated date of discharge</w:t>
      </w:r>
    </w:p>
    <w:p w14:paraId="563336C4" w14:textId="77777777" w:rsidR="005D2941" w:rsidRPr="005047A7" w:rsidRDefault="005D2941" w:rsidP="0092646E">
      <w:pPr>
        <w:pStyle w:val="ListParagraph"/>
        <w:numPr>
          <w:ilvl w:val="1"/>
          <w:numId w:val="12"/>
        </w:numPr>
        <w:rPr>
          <w:color w:val="000000" w:themeColor="text1"/>
        </w:rPr>
      </w:pPr>
      <w:r w:rsidRPr="005047A7">
        <w:rPr>
          <w:color w:val="000000" w:themeColor="text1"/>
        </w:rPr>
        <w:t>Destination and arrangements for transfer</w:t>
      </w:r>
    </w:p>
    <w:p w14:paraId="05C8EA3A" w14:textId="77777777" w:rsidR="005D2941" w:rsidRPr="005047A7" w:rsidRDefault="005D2941" w:rsidP="0092646E">
      <w:pPr>
        <w:pStyle w:val="ListParagraph"/>
        <w:numPr>
          <w:ilvl w:val="1"/>
          <w:numId w:val="12"/>
        </w:numPr>
        <w:rPr>
          <w:color w:val="000000" w:themeColor="text1"/>
        </w:rPr>
      </w:pPr>
      <w:r w:rsidRPr="005047A7">
        <w:rPr>
          <w:color w:val="000000" w:themeColor="text1"/>
        </w:rPr>
        <w:t>Transportation logistics</w:t>
      </w:r>
    </w:p>
    <w:p w14:paraId="07CE7190" w14:textId="77777777" w:rsidR="005D2941" w:rsidRPr="005047A7" w:rsidRDefault="005D2941" w:rsidP="0092646E">
      <w:pPr>
        <w:pStyle w:val="ListParagraph"/>
        <w:numPr>
          <w:ilvl w:val="1"/>
          <w:numId w:val="12"/>
        </w:numPr>
        <w:rPr>
          <w:color w:val="000000" w:themeColor="text1"/>
        </w:rPr>
      </w:pPr>
      <w:r w:rsidRPr="005047A7">
        <w:rPr>
          <w:color w:val="000000" w:themeColor="text1"/>
        </w:rPr>
        <w:t>Referral services for follow-up care</w:t>
      </w:r>
    </w:p>
    <w:p w14:paraId="15E76786" w14:textId="77777777" w:rsidR="005D2941" w:rsidRPr="005047A7" w:rsidRDefault="005D2941" w:rsidP="0092646E">
      <w:pPr>
        <w:pStyle w:val="ListParagraph"/>
        <w:numPr>
          <w:ilvl w:val="1"/>
          <w:numId w:val="12"/>
        </w:numPr>
        <w:rPr>
          <w:color w:val="000000" w:themeColor="text1"/>
        </w:rPr>
      </w:pPr>
      <w:r w:rsidRPr="005047A7">
        <w:rPr>
          <w:color w:val="000000" w:themeColor="text1"/>
        </w:rPr>
        <w:t>Home assessments for necessary equipment and modifications</w:t>
      </w:r>
    </w:p>
    <w:p w14:paraId="697B3AB9" w14:textId="77777777" w:rsidR="005D2941" w:rsidRPr="005047A7" w:rsidRDefault="005D2941" w:rsidP="0092646E">
      <w:pPr>
        <w:pStyle w:val="ListParagraph"/>
        <w:numPr>
          <w:ilvl w:val="1"/>
          <w:numId w:val="12"/>
        </w:numPr>
        <w:rPr>
          <w:color w:val="000000" w:themeColor="text1"/>
        </w:rPr>
      </w:pPr>
      <w:r w:rsidRPr="005047A7">
        <w:rPr>
          <w:color w:val="000000" w:themeColor="text1"/>
        </w:rPr>
        <w:t>Re-assessment of support risks, such as wound management or tube feeding</w:t>
      </w:r>
    </w:p>
    <w:p w14:paraId="3788AA24" w14:textId="77777777" w:rsidR="0092646E" w:rsidRPr="005047A7" w:rsidRDefault="0092646E" w:rsidP="0092646E">
      <w:pPr>
        <w:rPr>
          <w:color w:val="000000" w:themeColor="text1"/>
        </w:rPr>
      </w:pPr>
    </w:p>
    <w:p w14:paraId="10F4063E" w14:textId="77777777" w:rsidR="0092646E" w:rsidRPr="005047A7" w:rsidRDefault="005D2941" w:rsidP="0092646E">
      <w:pPr>
        <w:pStyle w:val="ListParagraph"/>
        <w:numPr>
          <w:ilvl w:val="0"/>
          <w:numId w:val="13"/>
        </w:numPr>
        <w:rPr>
          <w:color w:val="000000" w:themeColor="text1"/>
        </w:rPr>
      </w:pPr>
      <w:r w:rsidRPr="005047A7">
        <w:rPr>
          <w:color w:val="000000" w:themeColor="text1"/>
        </w:rPr>
        <w:t>Understanding Ongoing Support Needs</w:t>
      </w:r>
    </w:p>
    <w:p w14:paraId="7CA01FDB" w14:textId="77777777" w:rsidR="0092646E" w:rsidRPr="005047A7" w:rsidRDefault="0092646E" w:rsidP="0092646E">
      <w:pPr>
        <w:pStyle w:val="ListParagraph"/>
        <w:numPr>
          <w:ilvl w:val="0"/>
          <w:numId w:val="12"/>
        </w:numPr>
        <w:rPr>
          <w:color w:val="000000" w:themeColor="text1"/>
        </w:rPr>
      </w:pPr>
      <w:r w:rsidRPr="005047A7">
        <w:rPr>
          <w:color w:val="000000" w:themeColor="text1"/>
        </w:rPr>
        <w:t>Support staff must c</w:t>
      </w:r>
      <w:r w:rsidR="005D2941" w:rsidRPr="005047A7">
        <w:rPr>
          <w:color w:val="000000" w:themeColor="text1"/>
        </w:rPr>
        <w:t>ollaborate with hospital staff to determine the participant’s ongoing needs post-discharge</w:t>
      </w:r>
      <w:r w:rsidRPr="005047A7">
        <w:rPr>
          <w:color w:val="000000" w:themeColor="text1"/>
        </w:rPr>
        <w:t xml:space="preserve"> and assess our capacity to meet them</w:t>
      </w:r>
      <w:r w:rsidR="005D2941" w:rsidRPr="005047A7">
        <w:rPr>
          <w:color w:val="000000" w:themeColor="text1"/>
        </w:rPr>
        <w:t xml:space="preserve">. </w:t>
      </w:r>
    </w:p>
    <w:p w14:paraId="25F322A0" w14:textId="77777777" w:rsidR="005D2941" w:rsidRPr="005047A7" w:rsidRDefault="0092646E" w:rsidP="005D2941">
      <w:pPr>
        <w:pStyle w:val="ListParagraph"/>
        <w:numPr>
          <w:ilvl w:val="0"/>
          <w:numId w:val="12"/>
        </w:numPr>
        <w:rPr>
          <w:color w:val="000000" w:themeColor="text1"/>
        </w:rPr>
      </w:pPr>
      <w:r w:rsidRPr="005047A7">
        <w:rPr>
          <w:color w:val="000000" w:themeColor="text1"/>
        </w:rPr>
        <w:t>Support staff must o</w:t>
      </w:r>
      <w:r w:rsidR="005D2941" w:rsidRPr="005047A7">
        <w:rPr>
          <w:color w:val="000000" w:themeColor="text1"/>
        </w:rPr>
        <w:t>btain and review the following information:</w:t>
      </w:r>
    </w:p>
    <w:p w14:paraId="7B841695" w14:textId="77777777" w:rsidR="005D2941" w:rsidRPr="005047A7" w:rsidRDefault="005D2941" w:rsidP="0092646E">
      <w:pPr>
        <w:pStyle w:val="ListParagraph"/>
        <w:numPr>
          <w:ilvl w:val="1"/>
          <w:numId w:val="12"/>
        </w:numPr>
        <w:rPr>
          <w:color w:val="000000" w:themeColor="text1"/>
        </w:rPr>
      </w:pPr>
      <w:r w:rsidRPr="005047A7">
        <w:rPr>
          <w:color w:val="000000" w:themeColor="text1"/>
        </w:rPr>
        <w:t>Transfer of Care Summary: Overview of medical care provided during the hospital stay</w:t>
      </w:r>
    </w:p>
    <w:p w14:paraId="156356C1" w14:textId="77777777" w:rsidR="005D2941" w:rsidRPr="005047A7" w:rsidRDefault="005D2941" w:rsidP="0092646E">
      <w:pPr>
        <w:pStyle w:val="ListParagraph"/>
        <w:numPr>
          <w:ilvl w:val="1"/>
          <w:numId w:val="12"/>
        </w:numPr>
        <w:rPr>
          <w:color w:val="000000" w:themeColor="text1"/>
        </w:rPr>
      </w:pPr>
      <w:r w:rsidRPr="005047A7">
        <w:rPr>
          <w:color w:val="000000" w:themeColor="text1"/>
        </w:rPr>
        <w:t>Care Plan: Details on follow-up appointments with medical specialists, care recommendations for the participant’s regular healthcare providers (e.g., GP), and any additional health or social requirements</w:t>
      </w:r>
    </w:p>
    <w:p w14:paraId="1F03F113" w14:textId="77777777" w:rsidR="005D2941" w:rsidRPr="005047A7" w:rsidRDefault="005D2941" w:rsidP="0092646E">
      <w:pPr>
        <w:pStyle w:val="ListParagraph"/>
        <w:numPr>
          <w:ilvl w:val="1"/>
          <w:numId w:val="12"/>
        </w:numPr>
        <w:rPr>
          <w:color w:val="000000" w:themeColor="text1"/>
        </w:rPr>
      </w:pPr>
      <w:r w:rsidRPr="005047A7">
        <w:rPr>
          <w:color w:val="000000" w:themeColor="text1"/>
        </w:rPr>
        <w:t>Medications Summary: Comprehensive list of current medications, including details on any new or altered medications</w:t>
      </w:r>
    </w:p>
    <w:p w14:paraId="754419E6" w14:textId="28496CE7" w:rsidR="005D2941" w:rsidRPr="005047A7" w:rsidRDefault="0092646E" w:rsidP="0092646E">
      <w:pPr>
        <w:pStyle w:val="ListParagraph"/>
        <w:numPr>
          <w:ilvl w:val="0"/>
          <w:numId w:val="12"/>
        </w:numPr>
        <w:rPr>
          <w:color w:val="000000" w:themeColor="text1"/>
        </w:rPr>
      </w:pPr>
      <w:r w:rsidRPr="005047A7">
        <w:rPr>
          <w:color w:val="000000" w:themeColor="text1"/>
        </w:rPr>
        <w:t>Support staff must e</w:t>
      </w:r>
      <w:r w:rsidR="005D2941" w:rsidRPr="005047A7">
        <w:rPr>
          <w:color w:val="000000" w:themeColor="text1"/>
        </w:rPr>
        <w:t xml:space="preserve">valuate whether </w:t>
      </w:r>
      <w:r w:rsidR="00264C66">
        <w:rPr>
          <w:color w:val="000000" w:themeColor="text1"/>
        </w:rPr>
        <w:t>AmeCare</w:t>
      </w:r>
      <w:r w:rsidR="005D2941" w:rsidRPr="005047A7">
        <w:rPr>
          <w:color w:val="000000" w:themeColor="text1"/>
        </w:rPr>
        <w:t xml:space="preserve"> can meet any new care requirements resulting from changes during the hospital stay (e.g., need for speciali</w:t>
      </w:r>
      <w:r w:rsidRPr="005047A7">
        <w:rPr>
          <w:color w:val="000000" w:themeColor="text1"/>
        </w:rPr>
        <w:t>s</w:t>
      </w:r>
      <w:r w:rsidR="005D2941" w:rsidRPr="005047A7">
        <w:rPr>
          <w:color w:val="000000" w:themeColor="text1"/>
        </w:rPr>
        <w:t xml:space="preserve">ed staff or equipment). If you are unable to meet these needs, </w:t>
      </w:r>
      <w:r w:rsidRPr="005047A7">
        <w:rPr>
          <w:color w:val="000000" w:themeColor="text1"/>
        </w:rPr>
        <w:t xml:space="preserve">support staff must </w:t>
      </w:r>
      <w:r w:rsidR="005D2941" w:rsidRPr="005047A7">
        <w:rPr>
          <w:color w:val="000000" w:themeColor="text1"/>
        </w:rPr>
        <w:t>promptly inform hospital staff.</w:t>
      </w:r>
    </w:p>
    <w:p w14:paraId="50A28F01" w14:textId="77777777" w:rsidR="005D2941" w:rsidRPr="005047A7" w:rsidRDefault="005D2941" w:rsidP="005D2941">
      <w:pPr>
        <w:rPr>
          <w:color w:val="000000" w:themeColor="text1"/>
        </w:rPr>
      </w:pPr>
    </w:p>
    <w:p w14:paraId="0754FC59" w14:textId="77777777" w:rsidR="005D2941" w:rsidRPr="005047A7" w:rsidRDefault="005D2941" w:rsidP="005D2941">
      <w:pPr>
        <w:pStyle w:val="ListParagraph"/>
        <w:numPr>
          <w:ilvl w:val="0"/>
          <w:numId w:val="13"/>
        </w:numPr>
        <w:rPr>
          <w:color w:val="000000" w:themeColor="text1"/>
        </w:rPr>
      </w:pPr>
      <w:r w:rsidRPr="005047A7">
        <w:rPr>
          <w:color w:val="000000" w:themeColor="text1"/>
        </w:rPr>
        <w:t>Communication and Information Sharing</w:t>
      </w:r>
    </w:p>
    <w:p w14:paraId="626193C8" w14:textId="77777777" w:rsidR="005D2941" w:rsidRPr="005047A7" w:rsidRDefault="0092646E" w:rsidP="0092646E">
      <w:pPr>
        <w:pStyle w:val="ListParagraph"/>
        <w:numPr>
          <w:ilvl w:val="0"/>
          <w:numId w:val="14"/>
        </w:numPr>
        <w:rPr>
          <w:color w:val="000000" w:themeColor="text1"/>
        </w:rPr>
      </w:pPr>
      <w:r w:rsidRPr="005047A7">
        <w:rPr>
          <w:color w:val="000000" w:themeColor="text1"/>
        </w:rPr>
        <w:t>Support staff must m</w:t>
      </w:r>
      <w:r w:rsidR="005D2941" w:rsidRPr="005047A7">
        <w:rPr>
          <w:color w:val="000000" w:themeColor="text1"/>
        </w:rPr>
        <w:t>aintain early and ongoing communication with hospital staff, the participant, their support network (e.g., carers), and, if applicable, the participant’s NDIS plan manager. This helps prevent discharge delays and reduces risks following discharge.</w:t>
      </w:r>
    </w:p>
    <w:p w14:paraId="546F5B5D" w14:textId="77777777" w:rsidR="005D2941" w:rsidRPr="005047A7" w:rsidRDefault="0092646E" w:rsidP="0092646E">
      <w:pPr>
        <w:pStyle w:val="ListParagraph"/>
        <w:numPr>
          <w:ilvl w:val="0"/>
          <w:numId w:val="14"/>
        </w:numPr>
        <w:rPr>
          <w:color w:val="000000" w:themeColor="text1"/>
        </w:rPr>
      </w:pPr>
      <w:r w:rsidRPr="005047A7">
        <w:rPr>
          <w:color w:val="000000" w:themeColor="text1"/>
        </w:rPr>
        <w:t>Support staff must p</w:t>
      </w:r>
      <w:r w:rsidR="005D2941" w:rsidRPr="005047A7">
        <w:rPr>
          <w:color w:val="000000" w:themeColor="text1"/>
        </w:rPr>
        <w:t>rovide the participant with clear information about their follow-up care upon leaving the hospital. Ensure that this information is available in Easy English if necessary.</w:t>
      </w:r>
    </w:p>
    <w:p w14:paraId="4F10D45A" w14:textId="77777777" w:rsidR="005D2941" w:rsidRPr="005047A7" w:rsidRDefault="005D2941" w:rsidP="00025B2F">
      <w:pPr>
        <w:rPr>
          <w:color w:val="000000" w:themeColor="text1"/>
        </w:rPr>
      </w:pPr>
    </w:p>
    <w:p w14:paraId="50755D83" w14:textId="77777777" w:rsidR="0092646E" w:rsidRPr="005047A7" w:rsidRDefault="0092646E" w:rsidP="0092646E"/>
    <w:p w14:paraId="41915956" w14:textId="77777777" w:rsidR="0092646E" w:rsidRPr="005047A7" w:rsidRDefault="0092646E" w:rsidP="0092646E">
      <w:pPr>
        <w:rPr>
          <w:b/>
          <w:bCs/>
          <w:u w:val="single"/>
        </w:rPr>
      </w:pPr>
      <w:r w:rsidRPr="005047A7">
        <w:rPr>
          <w:b/>
          <w:bCs/>
          <w:u w:val="single"/>
        </w:rPr>
        <w:t>TRANSITION PROCESS</w:t>
      </w:r>
    </w:p>
    <w:p w14:paraId="001CFD8E" w14:textId="77777777" w:rsidR="0092646E" w:rsidRPr="005047A7" w:rsidRDefault="0092646E" w:rsidP="0092646E"/>
    <w:p w14:paraId="7337E4BC" w14:textId="76A9240F" w:rsidR="0092646E" w:rsidRPr="005047A7" w:rsidRDefault="0092646E" w:rsidP="0092646E">
      <w:r w:rsidRPr="005047A7">
        <w:t xml:space="preserve">A transition plan will be developed for each participant transitioning from or to a provider. The transition plan will be recorded in the </w:t>
      </w:r>
      <w:r w:rsidRPr="005047A7">
        <w:rPr>
          <w:i/>
          <w:iCs/>
        </w:rPr>
        <w:t>Participant Support Plan</w:t>
      </w:r>
      <w:r w:rsidRPr="005047A7">
        <w:t xml:space="preserve"> and include the following:</w:t>
      </w:r>
    </w:p>
    <w:p w14:paraId="424EEA52" w14:textId="77777777" w:rsidR="0092646E" w:rsidRPr="005047A7" w:rsidRDefault="0092646E" w:rsidP="0092646E">
      <w:pPr>
        <w:pStyle w:val="ListParagraph"/>
        <w:numPr>
          <w:ilvl w:val="0"/>
          <w:numId w:val="5"/>
        </w:numPr>
      </w:pPr>
      <w:r w:rsidRPr="005047A7">
        <w:t>Details of the provider transitioning to/from a provider.</w:t>
      </w:r>
    </w:p>
    <w:p w14:paraId="688034E9" w14:textId="77777777" w:rsidR="0092646E" w:rsidRPr="005047A7" w:rsidRDefault="0092646E" w:rsidP="0092646E">
      <w:pPr>
        <w:pStyle w:val="ListParagraph"/>
        <w:numPr>
          <w:ilvl w:val="0"/>
          <w:numId w:val="5"/>
        </w:numPr>
      </w:pPr>
      <w:r w:rsidRPr="005047A7">
        <w:t>Information provided by/to the provider.</w:t>
      </w:r>
    </w:p>
    <w:p w14:paraId="197AC8C8" w14:textId="77777777" w:rsidR="0092646E" w:rsidRPr="005047A7" w:rsidRDefault="0092646E" w:rsidP="0092646E">
      <w:pPr>
        <w:pStyle w:val="ListParagraph"/>
        <w:numPr>
          <w:ilvl w:val="0"/>
          <w:numId w:val="5"/>
        </w:numPr>
      </w:pPr>
      <w:r w:rsidRPr="005047A7">
        <w:t>Reasons for the transition.</w:t>
      </w:r>
    </w:p>
    <w:p w14:paraId="167556FB" w14:textId="77777777" w:rsidR="0092646E" w:rsidRPr="005047A7" w:rsidRDefault="0092646E" w:rsidP="0092646E">
      <w:pPr>
        <w:pStyle w:val="ListParagraph"/>
        <w:numPr>
          <w:ilvl w:val="0"/>
          <w:numId w:val="5"/>
        </w:numPr>
      </w:pPr>
      <w:r w:rsidRPr="005047A7">
        <w:t>Feedback from the participant and their family/support network.</w:t>
      </w:r>
    </w:p>
    <w:p w14:paraId="2E96A91C" w14:textId="77777777" w:rsidR="0092646E" w:rsidRPr="005047A7" w:rsidRDefault="0092646E" w:rsidP="0092646E">
      <w:pPr>
        <w:pStyle w:val="ListParagraph"/>
        <w:numPr>
          <w:ilvl w:val="0"/>
          <w:numId w:val="5"/>
        </w:numPr>
      </w:pPr>
      <w:r w:rsidRPr="005047A7">
        <w:lastRenderedPageBreak/>
        <w:t xml:space="preserve">Details of the transition process and estimated timeframes. </w:t>
      </w:r>
    </w:p>
    <w:p w14:paraId="64E26D6A" w14:textId="77777777" w:rsidR="0092646E" w:rsidRPr="005047A7" w:rsidRDefault="0092646E" w:rsidP="0092646E">
      <w:pPr>
        <w:pStyle w:val="ListParagraph"/>
        <w:numPr>
          <w:ilvl w:val="0"/>
          <w:numId w:val="5"/>
        </w:numPr>
      </w:pPr>
      <w:r w:rsidRPr="005047A7">
        <w:t>Communication plan and details of communications with the other provider.</w:t>
      </w:r>
    </w:p>
    <w:p w14:paraId="5D8C57F8" w14:textId="77777777" w:rsidR="0092646E" w:rsidRPr="005047A7" w:rsidRDefault="0092646E" w:rsidP="0092646E">
      <w:pPr>
        <w:pStyle w:val="ListParagraph"/>
        <w:numPr>
          <w:ilvl w:val="0"/>
          <w:numId w:val="5"/>
        </w:numPr>
      </w:pPr>
      <w:r w:rsidRPr="005047A7">
        <w:t>Identification of risks to the participant and risk management measures.</w:t>
      </w:r>
    </w:p>
    <w:p w14:paraId="6C17A47A" w14:textId="77777777" w:rsidR="0092646E" w:rsidRPr="005047A7" w:rsidRDefault="0092646E" w:rsidP="00025B2F">
      <w:pPr>
        <w:pStyle w:val="ListParagraph"/>
        <w:numPr>
          <w:ilvl w:val="0"/>
          <w:numId w:val="5"/>
        </w:numPr>
      </w:pPr>
      <w:r w:rsidRPr="005047A7">
        <w:t>Notes regarding the exit process and interviews.</w:t>
      </w:r>
    </w:p>
    <w:p w14:paraId="620DBEED" w14:textId="77777777" w:rsidR="0092646E" w:rsidRPr="005047A7" w:rsidRDefault="0092646E" w:rsidP="00025B2F">
      <w:pPr>
        <w:rPr>
          <w:b/>
          <w:bCs/>
          <w:color w:val="000000" w:themeColor="text1"/>
        </w:rPr>
      </w:pPr>
    </w:p>
    <w:p w14:paraId="4462656F" w14:textId="77777777" w:rsidR="00025B2F" w:rsidRPr="005047A7" w:rsidRDefault="00025B2F" w:rsidP="00025B2F">
      <w:pPr>
        <w:rPr>
          <w:b/>
          <w:bCs/>
          <w:color w:val="000000" w:themeColor="text1"/>
          <w:u w:val="single"/>
        </w:rPr>
      </w:pPr>
      <w:r w:rsidRPr="005047A7">
        <w:rPr>
          <w:b/>
          <w:bCs/>
          <w:color w:val="000000" w:themeColor="text1"/>
          <w:u w:val="single"/>
        </w:rPr>
        <w:t>RISK ASSESSMENT</w:t>
      </w:r>
    </w:p>
    <w:p w14:paraId="0DDA3D47" w14:textId="77777777" w:rsidR="00025B2F" w:rsidRPr="005047A7" w:rsidRDefault="00025B2F" w:rsidP="00025B2F">
      <w:pPr>
        <w:rPr>
          <w:color w:val="000000" w:themeColor="text1"/>
        </w:rPr>
      </w:pPr>
    </w:p>
    <w:p w14:paraId="086D7A21" w14:textId="13EB0B61" w:rsidR="00025B2F" w:rsidRPr="005047A7" w:rsidRDefault="00264C66" w:rsidP="00025B2F">
      <w:pPr>
        <w:rPr>
          <w:color w:val="000000" w:themeColor="text1"/>
        </w:rPr>
      </w:pPr>
      <w:r>
        <w:t>AmeCare</w:t>
      </w:r>
      <w:r w:rsidR="00025B2F" w:rsidRPr="005047A7">
        <w:t xml:space="preserve"> </w:t>
      </w:r>
      <w:r w:rsidR="00025B2F" w:rsidRPr="005047A7">
        <w:rPr>
          <w:color w:val="000000" w:themeColor="text1"/>
        </w:rPr>
        <w:t>will assess risks to the participant associated with transitioning to or from the service, including the level and nature of support the participant needs and will have available after transitioning.</w:t>
      </w:r>
    </w:p>
    <w:p w14:paraId="6AF2F357" w14:textId="77777777" w:rsidR="00025B2F" w:rsidRPr="005047A7" w:rsidRDefault="00025B2F" w:rsidP="00025B2F"/>
    <w:p w14:paraId="056E4905" w14:textId="77777777" w:rsidR="00025B2F" w:rsidRPr="005047A7" w:rsidRDefault="00025B2F" w:rsidP="00025B2F">
      <w:r w:rsidRPr="005047A7">
        <w:t>The risk assessment will be documented using the following forms:</w:t>
      </w:r>
    </w:p>
    <w:p w14:paraId="72F3F465" w14:textId="77777777" w:rsidR="00025B2F" w:rsidRPr="005047A7" w:rsidRDefault="00025B2F" w:rsidP="00025B2F">
      <w:pPr>
        <w:pStyle w:val="ListParagraph"/>
        <w:numPr>
          <w:ilvl w:val="0"/>
          <w:numId w:val="6"/>
        </w:numPr>
      </w:pPr>
      <w:r w:rsidRPr="005047A7">
        <w:rPr>
          <w:i/>
          <w:iCs/>
        </w:rPr>
        <w:t xml:space="preserve">Individual Risk Assessment Form </w:t>
      </w:r>
      <w:r w:rsidRPr="005047A7">
        <w:t>if the participant is transitioning from another provider. This form will be used during the intake assessment process.</w:t>
      </w:r>
    </w:p>
    <w:p w14:paraId="13F3ADA5" w14:textId="51D9518E" w:rsidR="00025B2F" w:rsidRPr="005047A7" w:rsidRDefault="00025B2F" w:rsidP="00025B2F">
      <w:pPr>
        <w:pStyle w:val="ListParagraph"/>
        <w:numPr>
          <w:ilvl w:val="0"/>
          <w:numId w:val="6"/>
        </w:numPr>
      </w:pPr>
      <w:r w:rsidRPr="005047A7">
        <w:rPr>
          <w:i/>
          <w:iCs/>
        </w:rPr>
        <w:t>Participant Support Plan</w:t>
      </w:r>
      <w:r w:rsidRPr="005047A7">
        <w:t xml:space="preserve"> if the participant is transitioning to or from the service. This form will be used during the support planning process.</w:t>
      </w:r>
    </w:p>
    <w:p w14:paraId="06595C9A" w14:textId="77777777" w:rsidR="00025B2F" w:rsidRPr="005047A7" w:rsidRDefault="00025B2F" w:rsidP="00025B2F"/>
    <w:p w14:paraId="2D422244" w14:textId="77777777" w:rsidR="00025B2F" w:rsidRPr="005047A7" w:rsidRDefault="00025B2F" w:rsidP="00025B2F">
      <w:r w:rsidRPr="005047A7">
        <w:t>Risks will be appropriately managed by staff, supporting the participant and their family/support network to manage identified risks, where possible.</w:t>
      </w:r>
    </w:p>
    <w:p w14:paraId="5D294585" w14:textId="77777777" w:rsidR="0092646E" w:rsidRPr="005047A7" w:rsidRDefault="0092646E" w:rsidP="0092646E"/>
    <w:p w14:paraId="135CEFB6" w14:textId="77777777" w:rsidR="0092646E" w:rsidRPr="005047A7" w:rsidRDefault="0092646E" w:rsidP="0092646E">
      <w:pPr>
        <w:rPr>
          <w:b/>
          <w:bCs/>
          <w:color w:val="000000" w:themeColor="text1"/>
          <w:u w:val="single"/>
        </w:rPr>
      </w:pPr>
      <w:r w:rsidRPr="005047A7">
        <w:rPr>
          <w:b/>
          <w:bCs/>
          <w:color w:val="000000" w:themeColor="text1"/>
          <w:u w:val="single"/>
        </w:rPr>
        <w:t>RESPONSIBILITIES</w:t>
      </w:r>
    </w:p>
    <w:p w14:paraId="6F64DE46" w14:textId="77777777" w:rsidR="0092646E" w:rsidRPr="005047A7" w:rsidRDefault="0092646E" w:rsidP="0092646E">
      <w:pPr>
        <w:rPr>
          <w:color w:val="000000" w:themeColor="text1"/>
        </w:rPr>
      </w:pPr>
    </w:p>
    <w:p w14:paraId="0BB01660" w14:textId="77777777" w:rsidR="0092646E" w:rsidRPr="005047A7" w:rsidRDefault="0092646E" w:rsidP="0092646E">
      <w:pPr>
        <w:rPr>
          <w:color w:val="000000" w:themeColor="text1"/>
          <w:kern w:val="0"/>
          <w14:ligatures w14:val="none"/>
        </w:rPr>
      </w:pPr>
      <w:r w:rsidRPr="005047A7">
        <w:rPr>
          <w:color w:val="000000" w:themeColor="text1"/>
        </w:rPr>
        <w:t>To ensure smooth transitions of care for NDIS participants, support staff are responsible for the following:</w:t>
      </w:r>
    </w:p>
    <w:p w14:paraId="7D57068F" w14:textId="77777777" w:rsidR="00A243D6" w:rsidRPr="005047A7" w:rsidRDefault="00A243D6" w:rsidP="00A243D6">
      <w:pPr>
        <w:pStyle w:val="ListParagraph"/>
        <w:numPr>
          <w:ilvl w:val="0"/>
          <w:numId w:val="15"/>
        </w:numPr>
        <w:rPr>
          <w:color w:val="000000" w:themeColor="text1"/>
        </w:rPr>
      </w:pPr>
      <w:r w:rsidRPr="005047A7">
        <w:rPr>
          <w:color w:val="000000" w:themeColor="text1"/>
        </w:rPr>
        <w:t>Ensuring that the participant’s health and medication records are up-to-date and accurate. Regularly review and update these records to reflect any changes.</w:t>
      </w:r>
    </w:p>
    <w:p w14:paraId="0EA3AA2B" w14:textId="77777777" w:rsidR="00A243D6" w:rsidRPr="005047A7" w:rsidRDefault="00A243D6" w:rsidP="00A243D6">
      <w:pPr>
        <w:pStyle w:val="ListParagraph"/>
        <w:numPr>
          <w:ilvl w:val="0"/>
          <w:numId w:val="15"/>
        </w:numPr>
        <w:rPr>
          <w:color w:val="000000" w:themeColor="text1"/>
        </w:rPr>
      </w:pPr>
      <w:r w:rsidRPr="005047A7">
        <w:rPr>
          <w:color w:val="000000" w:themeColor="text1"/>
        </w:rPr>
        <w:t>Proactively engaging with other service providers involved in the participant’s care to facilitate a seamless transition.</w:t>
      </w:r>
    </w:p>
    <w:p w14:paraId="37C3DDCE" w14:textId="77777777" w:rsidR="00A243D6" w:rsidRPr="005047A7" w:rsidRDefault="00A243D6" w:rsidP="00A243D6">
      <w:pPr>
        <w:pStyle w:val="ListParagraph"/>
        <w:numPr>
          <w:ilvl w:val="0"/>
          <w:numId w:val="15"/>
        </w:numPr>
        <w:rPr>
          <w:color w:val="000000" w:themeColor="text1"/>
        </w:rPr>
      </w:pPr>
      <w:r w:rsidRPr="005047A7">
        <w:rPr>
          <w:color w:val="000000" w:themeColor="text1"/>
        </w:rPr>
        <w:t>Assisting participants in understanding their health information and facilitating effective communication with hospital or care staff.</w:t>
      </w:r>
    </w:p>
    <w:p w14:paraId="70210BCA" w14:textId="77777777" w:rsidR="0092646E" w:rsidRPr="005047A7" w:rsidRDefault="0092646E" w:rsidP="0092646E">
      <w:pPr>
        <w:pStyle w:val="ListParagraph"/>
        <w:numPr>
          <w:ilvl w:val="0"/>
          <w:numId w:val="15"/>
        </w:numPr>
        <w:rPr>
          <w:color w:val="000000" w:themeColor="text1"/>
        </w:rPr>
      </w:pPr>
      <w:r w:rsidRPr="005047A7">
        <w:rPr>
          <w:color w:val="000000" w:themeColor="text1"/>
        </w:rPr>
        <w:t>Coordinating a pre-admission meeting with hospital staff and the participant’s support network to prepare for hospital admissions effectively.</w:t>
      </w:r>
    </w:p>
    <w:p w14:paraId="3ECE2A10" w14:textId="77777777" w:rsidR="0092646E" w:rsidRPr="005047A7" w:rsidRDefault="0092646E" w:rsidP="00E35A9B">
      <w:pPr>
        <w:pStyle w:val="ListParagraph"/>
        <w:numPr>
          <w:ilvl w:val="0"/>
          <w:numId w:val="15"/>
        </w:numPr>
        <w:rPr>
          <w:color w:val="000000" w:themeColor="text1"/>
        </w:rPr>
      </w:pPr>
      <w:r w:rsidRPr="005047A7">
        <w:rPr>
          <w:color w:val="000000" w:themeColor="text1"/>
        </w:rPr>
        <w:t>Planning for hospital discharge early, based on medical advice, to account for any changes in care needs</w:t>
      </w:r>
      <w:r w:rsidR="00E35A9B" w:rsidRPr="005047A7">
        <w:rPr>
          <w:color w:val="000000" w:themeColor="text1"/>
        </w:rPr>
        <w:t xml:space="preserve"> and c</w:t>
      </w:r>
      <w:r w:rsidRPr="005047A7">
        <w:rPr>
          <w:color w:val="000000" w:themeColor="text1"/>
        </w:rPr>
        <w:t>ollaborating with hospital staff and the participant’s support network to ensure that any additional health-related support required after discharge can be provided.</w:t>
      </w:r>
    </w:p>
    <w:p w14:paraId="06306E06" w14:textId="6085774B" w:rsidR="00A243D6" w:rsidRPr="005047A7" w:rsidRDefault="00A243D6" w:rsidP="0092646E">
      <w:pPr>
        <w:pStyle w:val="ListParagraph"/>
        <w:numPr>
          <w:ilvl w:val="0"/>
          <w:numId w:val="15"/>
        </w:numPr>
        <w:rPr>
          <w:color w:val="000000" w:themeColor="text1"/>
        </w:rPr>
      </w:pPr>
      <w:r w:rsidRPr="005047A7">
        <w:rPr>
          <w:color w:val="000000" w:themeColor="text1"/>
        </w:rPr>
        <w:t>Assess</w:t>
      </w:r>
      <w:r w:rsidR="00E35A9B" w:rsidRPr="005047A7">
        <w:rPr>
          <w:color w:val="000000" w:themeColor="text1"/>
        </w:rPr>
        <w:t>ing</w:t>
      </w:r>
      <w:r w:rsidRPr="005047A7">
        <w:rPr>
          <w:color w:val="000000" w:themeColor="text1"/>
        </w:rPr>
        <w:t xml:space="preserve"> whether </w:t>
      </w:r>
      <w:r w:rsidR="00264C66">
        <w:rPr>
          <w:color w:val="000000" w:themeColor="text1"/>
        </w:rPr>
        <w:t>AmeCare</w:t>
      </w:r>
      <w:r w:rsidRPr="005047A7">
        <w:rPr>
          <w:color w:val="000000" w:themeColor="text1"/>
        </w:rPr>
        <w:t xml:space="preserve"> can meet new care requirements if participants transition from another provider.</w:t>
      </w:r>
    </w:p>
    <w:p w14:paraId="0AF9973A" w14:textId="25AB5072" w:rsidR="00E35A9B" w:rsidRPr="005047A7" w:rsidRDefault="00E35A9B" w:rsidP="0092646E">
      <w:pPr>
        <w:pStyle w:val="ListParagraph"/>
        <w:numPr>
          <w:ilvl w:val="0"/>
          <w:numId w:val="15"/>
        </w:numPr>
        <w:rPr>
          <w:color w:val="000000" w:themeColor="text1"/>
        </w:rPr>
      </w:pPr>
      <w:r w:rsidRPr="005047A7">
        <w:t xml:space="preserve">Collaborating with the participant and their family/support network to ensure a smooth transition to or from </w:t>
      </w:r>
      <w:r w:rsidR="00264C66">
        <w:t>AmeCare</w:t>
      </w:r>
      <w:r w:rsidRPr="005047A7">
        <w:t xml:space="preserve"> services.</w:t>
      </w:r>
    </w:p>
    <w:p w14:paraId="242B44A5" w14:textId="77777777" w:rsidR="00E35A9B" w:rsidRPr="005047A7" w:rsidRDefault="00E35A9B" w:rsidP="0092646E">
      <w:pPr>
        <w:pStyle w:val="ListParagraph"/>
        <w:numPr>
          <w:ilvl w:val="0"/>
          <w:numId w:val="15"/>
        </w:numPr>
        <w:rPr>
          <w:color w:val="000000" w:themeColor="text1"/>
        </w:rPr>
      </w:pPr>
      <w:r w:rsidRPr="005047A7">
        <w:rPr>
          <w:color w:val="000000" w:themeColor="text1"/>
        </w:rPr>
        <w:t>Maintaining ongoing communication with care or hospital staff, the participant, their support network, and, if applicable, the participant’s NDIS plan manager.</w:t>
      </w:r>
    </w:p>
    <w:p w14:paraId="2AF526BD" w14:textId="1158FA14" w:rsidR="00E35A9B" w:rsidRPr="005047A7" w:rsidRDefault="00E35A9B" w:rsidP="00E35A9B">
      <w:pPr>
        <w:pStyle w:val="ListParagraph"/>
        <w:numPr>
          <w:ilvl w:val="0"/>
          <w:numId w:val="15"/>
        </w:numPr>
        <w:rPr>
          <w:color w:val="000000" w:themeColor="text1"/>
        </w:rPr>
      </w:pPr>
      <w:r w:rsidRPr="005047A7">
        <w:rPr>
          <w:color w:val="000000" w:themeColor="text1"/>
        </w:rPr>
        <w:t xml:space="preserve">Documenting risks associated with the transition in the </w:t>
      </w:r>
      <w:r w:rsidRPr="005047A7">
        <w:rPr>
          <w:i/>
          <w:iCs/>
          <w:color w:val="000000" w:themeColor="text1"/>
        </w:rPr>
        <w:t>Individual Risk Assessment Form</w:t>
      </w:r>
      <w:r w:rsidRPr="005047A7">
        <w:rPr>
          <w:color w:val="000000" w:themeColor="text1"/>
        </w:rPr>
        <w:t xml:space="preserve"> and/or the </w:t>
      </w:r>
      <w:r w:rsidRPr="005047A7">
        <w:rPr>
          <w:i/>
          <w:iCs/>
          <w:color w:val="000000" w:themeColor="text1"/>
        </w:rPr>
        <w:t>Participant  Support Plan</w:t>
      </w:r>
      <w:r w:rsidRPr="005047A7">
        <w:rPr>
          <w:color w:val="000000" w:themeColor="text1"/>
        </w:rPr>
        <w:t>.</w:t>
      </w:r>
    </w:p>
    <w:p w14:paraId="19DBEE5D" w14:textId="77777777" w:rsidR="00E35A9B" w:rsidRPr="005047A7" w:rsidRDefault="00E35A9B" w:rsidP="0092646E">
      <w:pPr>
        <w:pStyle w:val="ListParagraph"/>
        <w:numPr>
          <w:ilvl w:val="0"/>
          <w:numId w:val="15"/>
        </w:numPr>
        <w:rPr>
          <w:color w:val="000000" w:themeColor="text1"/>
        </w:rPr>
      </w:pPr>
      <w:r w:rsidRPr="005047A7">
        <w:rPr>
          <w:color w:val="000000" w:themeColor="text1"/>
        </w:rPr>
        <w:t>Informing the participant and their support network of any risks and manage the impact of change to meet the participant’s goals and needs.</w:t>
      </w:r>
    </w:p>
    <w:p w14:paraId="25542720" w14:textId="1EF4AC7C" w:rsidR="00E35A9B" w:rsidRPr="005047A7" w:rsidRDefault="00E35A9B" w:rsidP="00025B2F">
      <w:pPr>
        <w:pStyle w:val="ListParagraph"/>
        <w:numPr>
          <w:ilvl w:val="0"/>
          <w:numId w:val="15"/>
        </w:numPr>
        <w:rPr>
          <w:color w:val="000000" w:themeColor="text1"/>
        </w:rPr>
      </w:pPr>
      <w:r w:rsidRPr="005047A7">
        <w:rPr>
          <w:color w:val="000000" w:themeColor="text1"/>
        </w:rPr>
        <w:lastRenderedPageBreak/>
        <w:t xml:space="preserve">If a participant is exiting or transitioning from </w:t>
      </w:r>
      <w:r w:rsidR="00264C66">
        <w:rPr>
          <w:color w:val="000000" w:themeColor="text1"/>
        </w:rPr>
        <w:t>AmeCare</w:t>
      </w:r>
      <w:r w:rsidRPr="005047A7">
        <w:rPr>
          <w:color w:val="000000" w:themeColor="text1"/>
        </w:rPr>
        <w:t xml:space="preserve"> services, offering them the opportunity to complete a Participant Exit Form and participate in an exit interview.</w:t>
      </w:r>
    </w:p>
    <w:p w14:paraId="286DB917" w14:textId="77777777" w:rsidR="00025B2F" w:rsidRDefault="00E35A9B" w:rsidP="00025B2F">
      <w:pPr>
        <w:pStyle w:val="ListParagraph"/>
        <w:numPr>
          <w:ilvl w:val="0"/>
          <w:numId w:val="15"/>
        </w:numPr>
        <w:rPr>
          <w:color w:val="000000" w:themeColor="text1"/>
        </w:rPr>
      </w:pPr>
      <w:r w:rsidRPr="005047A7">
        <w:rPr>
          <w:color w:val="000000" w:themeColor="text1"/>
        </w:rPr>
        <w:t>During the exit interview, reviewing the outcomes of the service provided and discuss the transition plan and arrangements with the participant and their support network.</w:t>
      </w:r>
    </w:p>
    <w:p w14:paraId="26B5080E" w14:textId="413B8335" w:rsidR="002A1C76" w:rsidRPr="005047A7" w:rsidRDefault="002A1C76" w:rsidP="00025B2F">
      <w:pPr>
        <w:pStyle w:val="ListParagraph"/>
        <w:numPr>
          <w:ilvl w:val="0"/>
          <w:numId w:val="15"/>
        </w:numPr>
        <w:rPr>
          <w:color w:val="000000" w:themeColor="text1"/>
        </w:rPr>
      </w:pPr>
      <w:r>
        <w:rPr>
          <w:color w:val="000000" w:themeColor="text1"/>
        </w:rPr>
        <w:t>Complete the “Participant Service Exit Checklist” and upload to the participant’s Brevity Proflie</w:t>
      </w:r>
    </w:p>
    <w:p w14:paraId="14625F41" w14:textId="77777777" w:rsidR="00E35A9B" w:rsidRPr="005047A7" w:rsidRDefault="00E35A9B" w:rsidP="00025B2F"/>
    <w:p w14:paraId="1CED076C" w14:textId="77777777" w:rsidR="00025B2F" w:rsidRPr="005047A7" w:rsidRDefault="00025B2F" w:rsidP="00025B2F">
      <w:pPr>
        <w:rPr>
          <w:b/>
          <w:bCs/>
          <w:u w:val="single"/>
        </w:rPr>
      </w:pPr>
      <w:r w:rsidRPr="005047A7">
        <w:rPr>
          <w:b/>
          <w:bCs/>
          <w:u w:val="single"/>
        </w:rPr>
        <w:t>EXIT PROCESS INTERVIEW</w:t>
      </w:r>
    </w:p>
    <w:p w14:paraId="4C4286A9" w14:textId="77777777" w:rsidR="00025B2F" w:rsidRPr="005047A7" w:rsidRDefault="00025B2F" w:rsidP="00025B2F"/>
    <w:p w14:paraId="2F34E5BA" w14:textId="612804A0" w:rsidR="00025B2F" w:rsidRPr="005047A7" w:rsidRDefault="00025B2F" w:rsidP="00025B2F">
      <w:r w:rsidRPr="005047A7">
        <w:t xml:space="preserve">All participants have the right to terminate or exit </w:t>
      </w:r>
      <w:r w:rsidR="00264C66">
        <w:t>AmeCare</w:t>
      </w:r>
      <w:r w:rsidRPr="005047A7">
        <w:t xml:space="preserve"> services at any time, and their decision will not prejudice future access to our services.</w:t>
      </w:r>
    </w:p>
    <w:p w14:paraId="1B5DCC5E" w14:textId="77777777" w:rsidR="00025B2F" w:rsidRPr="005047A7" w:rsidRDefault="00025B2F" w:rsidP="00025B2F"/>
    <w:p w14:paraId="7875E3AC" w14:textId="3DED6448" w:rsidR="00025B2F" w:rsidRPr="005047A7" w:rsidRDefault="00025B2F" w:rsidP="00025B2F">
      <w:r w:rsidRPr="005047A7">
        <w:t xml:space="preserve">If the participant is exiting or transitioning from </w:t>
      </w:r>
      <w:r w:rsidR="00264C66">
        <w:t>AmeCare</w:t>
      </w:r>
      <w:r w:rsidRPr="005047A7">
        <w:t xml:space="preserve"> services to other providers, they will be invited to complete a </w:t>
      </w:r>
      <w:r w:rsidRPr="005047A7">
        <w:rPr>
          <w:i/>
          <w:iCs/>
        </w:rPr>
        <w:t>Participant Exit Form</w:t>
      </w:r>
      <w:r w:rsidRPr="005047A7">
        <w:t xml:space="preserve"> and will be offered the opportunity to have an exit interview with a staff member.</w:t>
      </w:r>
    </w:p>
    <w:p w14:paraId="5DAC4028" w14:textId="77777777" w:rsidR="00025B2F" w:rsidRPr="005047A7" w:rsidRDefault="00025B2F" w:rsidP="00025B2F"/>
    <w:p w14:paraId="34263658" w14:textId="77777777" w:rsidR="00025B2F" w:rsidRDefault="00025B2F" w:rsidP="00025B2F">
      <w:r w:rsidRPr="005047A7">
        <w:t>Staff will conduct an exit interview with the participant and their family/support network as part of the exit or transition plan. During the exit interview, the outcomes of the service and support provided will be reviewed, and the transition plan and arrangements will be discussed.</w:t>
      </w:r>
    </w:p>
    <w:p w14:paraId="0325F546" w14:textId="77777777" w:rsidR="006B6027" w:rsidRDefault="006B6027" w:rsidP="00025B2F"/>
    <w:p w14:paraId="31B71751" w14:textId="383D269C" w:rsidR="006B6027" w:rsidRPr="006B6027" w:rsidRDefault="00BE7260" w:rsidP="006B6027">
      <w:pPr>
        <w:rPr>
          <w:rFonts w:cstheme="minorHAnsi"/>
          <w:b/>
          <w:bCs/>
          <w:u w:val="single"/>
        </w:rPr>
      </w:pPr>
      <w:r w:rsidRPr="00BE7260">
        <w:rPr>
          <w:rFonts w:cstheme="minorHAnsi"/>
          <w:b/>
          <w:bCs/>
          <w:u w:val="single"/>
        </w:rPr>
        <w:t>ADDITIONAL NOTES</w:t>
      </w:r>
    </w:p>
    <w:p w14:paraId="580653D8" w14:textId="77777777" w:rsidR="006B6027" w:rsidRPr="006B6027" w:rsidRDefault="006B6027" w:rsidP="006B6027">
      <w:pPr>
        <w:numPr>
          <w:ilvl w:val="0"/>
          <w:numId w:val="17"/>
        </w:numPr>
        <w:rPr>
          <w:rFonts w:cstheme="minorHAnsi"/>
        </w:rPr>
      </w:pPr>
      <w:r w:rsidRPr="006B6027">
        <w:rPr>
          <w:rFonts w:cstheme="minorHAnsi"/>
          <w:b/>
          <w:bCs/>
        </w:rPr>
        <w:t>SRS to SIL</w:t>
      </w:r>
      <w:r w:rsidRPr="006B6027">
        <w:rPr>
          <w:rFonts w:cstheme="minorHAnsi"/>
        </w:rPr>
        <w:t xml:space="preserve"> transitions can take time, especially if the participant is not yet NDIS-funded. Early application and thorough documentation are crucial.</w:t>
      </w:r>
    </w:p>
    <w:p w14:paraId="05CB6202" w14:textId="3853D8F0" w:rsidR="006B6027" w:rsidRPr="00BE7260" w:rsidRDefault="006B6027" w:rsidP="006B6027">
      <w:pPr>
        <w:numPr>
          <w:ilvl w:val="0"/>
          <w:numId w:val="17"/>
        </w:numPr>
        <w:rPr>
          <w:rFonts w:cstheme="minorHAnsi"/>
        </w:rPr>
      </w:pPr>
      <w:r w:rsidRPr="006B6027">
        <w:rPr>
          <w:rFonts w:cstheme="minorHAnsi"/>
          <w:b/>
          <w:bCs/>
        </w:rPr>
        <w:t>Rooming house</w:t>
      </w:r>
      <w:r w:rsidR="00BE7260">
        <w:rPr>
          <w:rFonts w:cstheme="minorHAnsi"/>
          <w:b/>
          <w:bCs/>
        </w:rPr>
        <w:t>/SRS</w:t>
      </w:r>
      <w:r w:rsidRPr="006B6027">
        <w:rPr>
          <w:rFonts w:cstheme="minorHAnsi"/>
        </w:rPr>
        <w:t xml:space="preserve"> residents may need extra support to adjust to the routines and expectations of SIL.</w:t>
      </w:r>
    </w:p>
    <w:p w14:paraId="41A2A7D0" w14:textId="6FFBAC27" w:rsidR="00BE7260" w:rsidRPr="00965E6A" w:rsidRDefault="00C90595" w:rsidP="00C90595">
      <w:pPr>
        <w:numPr>
          <w:ilvl w:val="0"/>
          <w:numId w:val="17"/>
        </w:numPr>
        <w:spacing w:after="160" w:line="278" w:lineRule="auto"/>
        <w:rPr>
          <w:rFonts w:cstheme="minorHAnsi"/>
        </w:rPr>
      </w:pPr>
      <w:r w:rsidRPr="00065C0E">
        <w:rPr>
          <w:rFonts w:cstheme="minorHAnsi"/>
          <w:b/>
          <w:bCs/>
        </w:rPr>
        <w:t>Family home to SIL</w:t>
      </w:r>
      <w:r w:rsidRPr="00065C0E">
        <w:rPr>
          <w:rFonts w:cstheme="minorHAnsi"/>
        </w:rPr>
        <w:t xml:space="preserve"> transitions often involve emotional adjustment and skill-building for greater independence.</w:t>
      </w:r>
    </w:p>
    <w:p w14:paraId="235D90F3" w14:textId="3731CF9D" w:rsidR="00C90595" w:rsidRPr="00065C0E" w:rsidRDefault="00BE7260" w:rsidP="00C90595">
      <w:pPr>
        <w:spacing w:after="160" w:line="278" w:lineRule="auto"/>
        <w:rPr>
          <w:rFonts w:ascii="Calibri" w:hAnsi="Calibri" w:cs="Calibri"/>
          <w:b/>
          <w:bCs/>
          <w:u w:val="single"/>
        </w:rPr>
      </w:pPr>
      <w:r w:rsidRPr="00BE7260">
        <w:rPr>
          <w:rFonts w:ascii="Calibri" w:hAnsi="Calibri" w:cs="Calibri"/>
          <w:b/>
          <w:bCs/>
          <w:u w:val="single"/>
        </w:rPr>
        <w:t>STAFF TRAINING REQUIREMENTS</w:t>
      </w:r>
    </w:p>
    <w:p w14:paraId="578E7ACA" w14:textId="77777777" w:rsidR="00C90595" w:rsidRPr="00065C0E" w:rsidRDefault="00C90595" w:rsidP="00BE7260">
      <w:pPr>
        <w:numPr>
          <w:ilvl w:val="0"/>
          <w:numId w:val="38"/>
        </w:numPr>
        <w:spacing w:line="278" w:lineRule="auto"/>
        <w:rPr>
          <w:rFonts w:ascii="Calibri" w:hAnsi="Calibri" w:cs="Calibri"/>
        </w:rPr>
      </w:pPr>
      <w:r w:rsidRPr="00065C0E">
        <w:rPr>
          <w:rFonts w:ascii="Calibri" w:hAnsi="Calibri" w:cs="Calibri"/>
        </w:rPr>
        <w:t>All staff involved in participant transitions must complete training on NDIS Practice Standards, organizational transition procedures, and person-centered planning.</w:t>
      </w:r>
    </w:p>
    <w:p w14:paraId="10098049" w14:textId="77777777" w:rsidR="00C90595" w:rsidRPr="00065C0E" w:rsidRDefault="00C90595" w:rsidP="00BE7260">
      <w:pPr>
        <w:numPr>
          <w:ilvl w:val="0"/>
          <w:numId w:val="38"/>
        </w:numPr>
        <w:spacing w:line="278" w:lineRule="auto"/>
        <w:rPr>
          <w:rFonts w:ascii="Calibri" w:hAnsi="Calibri" w:cs="Calibri"/>
        </w:rPr>
      </w:pPr>
      <w:r w:rsidRPr="00065C0E">
        <w:rPr>
          <w:rFonts w:ascii="Calibri" w:hAnsi="Calibri" w:cs="Calibri"/>
        </w:rPr>
        <w:t>Training must cover:</w:t>
      </w:r>
    </w:p>
    <w:p w14:paraId="578B2F62" w14:textId="77777777" w:rsidR="00C90595" w:rsidRPr="00065C0E" w:rsidRDefault="00C90595" w:rsidP="00BE7260">
      <w:pPr>
        <w:numPr>
          <w:ilvl w:val="1"/>
          <w:numId w:val="38"/>
        </w:numPr>
        <w:spacing w:line="278" w:lineRule="auto"/>
        <w:rPr>
          <w:rFonts w:ascii="Calibri" w:hAnsi="Calibri" w:cs="Calibri"/>
        </w:rPr>
      </w:pPr>
      <w:r w:rsidRPr="00065C0E">
        <w:rPr>
          <w:rFonts w:ascii="Calibri" w:hAnsi="Calibri" w:cs="Calibri"/>
        </w:rPr>
        <w:t>Consent and information sharing requirements</w:t>
      </w:r>
    </w:p>
    <w:p w14:paraId="11A5ABA7" w14:textId="77777777" w:rsidR="00C90595" w:rsidRPr="00065C0E" w:rsidRDefault="00C90595" w:rsidP="00BE7260">
      <w:pPr>
        <w:numPr>
          <w:ilvl w:val="1"/>
          <w:numId w:val="38"/>
        </w:numPr>
        <w:spacing w:line="278" w:lineRule="auto"/>
        <w:rPr>
          <w:rFonts w:ascii="Calibri" w:hAnsi="Calibri" w:cs="Calibri"/>
        </w:rPr>
      </w:pPr>
      <w:r w:rsidRPr="00065C0E">
        <w:rPr>
          <w:rFonts w:ascii="Calibri" w:hAnsi="Calibri" w:cs="Calibri"/>
        </w:rPr>
        <w:t>Risk assessment and documentation processes</w:t>
      </w:r>
    </w:p>
    <w:p w14:paraId="1BB6F279" w14:textId="77777777" w:rsidR="00C90595" w:rsidRPr="00065C0E" w:rsidRDefault="00C90595" w:rsidP="00BE7260">
      <w:pPr>
        <w:numPr>
          <w:ilvl w:val="1"/>
          <w:numId w:val="38"/>
        </w:numPr>
        <w:spacing w:line="278" w:lineRule="auto"/>
        <w:rPr>
          <w:rFonts w:ascii="Calibri" w:hAnsi="Calibri" w:cs="Calibri"/>
        </w:rPr>
      </w:pPr>
      <w:r w:rsidRPr="00065C0E">
        <w:rPr>
          <w:rFonts w:ascii="Calibri" w:hAnsi="Calibri" w:cs="Calibri"/>
        </w:rPr>
        <w:t>Communication strategies for working with participants, families, and external providers</w:t>
      </w:r>
    </w:p>
    <w:p w14:paraId="5480C666" w14:textId="77777777" w:rsidR="00C90595" w:rsidRPr="00065C0E" w:rsidRDefault="00C90595" w:rsidP="00BE7260">
      <w:pPr>
        <w:numPr>
          <w:ilvl w:val="1"/>
          <w:numId w:val="38"/>
        </w:numPr>
        <w:spacing w:line="278" w:lineRule="auto"/>
        <w:rPr>
          <w:rFonts w:ascii="Calibri" w:hAnsi="Calibri" w:cs="Calibri"/>
        </w:rPr>
      </w:pPr>
      <w:r w:rsidRPr="00065C0E">
        <w:rPr>
          <w:rFonts w:ascii="Calibri" w:hAnsi="Calibri" w:cs="Calibri"/>
        </w:rPr>
        <w:t>Cultural competency and trauma-informed practice</w:t>
      </w:r>
    </w:p>
    <w:p w14:paraId="6B482AF7" w14:textId="77777777" w:rsidR="00C90595" w:rsidRPr="00065C0E" w:rsidRDefault="00C90595" w:rsidP="00BE7260">
      <w:pPr>
        <w:numPr>
          <w:ilvl w:val="1"/>
          <w:numId w:val="38"/>
        </w:numPr>
        <w:spacing w:line="278" w:lineRule="auto"/>
        <w:rPr>
          <w:rFonts w:ascii="Calibri" w:hAnsi="Calibri" w:cs="Calibri"/>
        </w:rPr>
      </w:pPr>
      <w:r w:rsidRPr="00065C0E">
        <w:rPr>
          <w:rFonts w:ascii="Calibri" w:hAnsi="Calibri" w:cs="Calibri"/>
        </w:rPr>
        <w:t>Feedback collection and continuous improvement</w:t>
      </w:r>
    </w:p>
    <w:p w14:paraId="4AA545DC" w14:textId="77777777" w:rsidR="00C90595" w:rsidRPr="00065C0E" w:rsidRDefault="00C90595" w:rsidP="00BE7260">
      <w:pPr>
        <w:numPr>
          <w:ilvl w:val="0"/>
          <w:numId w:val="38"/>
        </w:numPr>
        <w:spacing w:line="278" w:lineRule="auto"/>
        <w:rPr>
          <w:rFonts w:ascii="Calibri" w:hAnsi="Calibri" w:cs="Calibri"/>
        </w:rPr>
      </w:pPr>
      <w:r w:rsidRPr="00065C0E">
        <w:rPr>
          <w:rFonts w:ascii="Calibri" w:hAnsi="Calibri" w:cs="Calibri"/>
        </w:rPr>
        <w:t>Staff must participate in regular refresher training and updates as policies, procedures, or NDIS requirements change.</w:t>
      </w:r>
    </w:p>
    <w:p w14:paraId="4175D3C7" w14:textId="77777777" w:rsidR="00C90595" w:rsidRPr="00065C0E" w:rsidRDefault="00C90595" w:rsidP="00BE7260">
      <w:pPr>
        <w:numPr>
          <w:ilvl w:val="0"/>
          <w:numId w:val="38"/>
        </w:numPr>
        <w:spacing w:line="278" w:lineRule="auto"/>
        <w:rPr>
          <w:rFonts w:ascii="Calibri" w:hAnsi="Calibri" w:cs="Calibri"/>
        </w:rPr>
      </w:pPr>
      <w:r w:rsidRPr="00065C0E">
        <w:rPr>
          <w:rFonts w:ascii="Calibri" w:hAnsi="Calibri" w:cs="Calibri"/>
        </w:rPr>
        <w:t>Training records must be maintained and reviewed to ensure compliance and identify further development needs.</w:t>
      </w:r>
    </w:p>
    <w:p w14:paraId="300B04B2" w14:textId="77777777" w:rsidR="006B6027" w:rsidRPr="005047A7" w:rsidRDefault="006B6027" w:rsidP="00025B2F"/>
    <w:p w14:paraId="38FF9274" w14:textId="77777777" w:rsidR="00025B2F" w:rsidRPr="005047A7" w:rsidRDefault="00025B2F" w:rsidP="00025B2F"/>
    <w:p w14:paraId="3FA246BB" w14:textId="77777777" w:rsidR="00025B2F" w:rsidRPr="005047A7" w:rsidRDefault="00025B2F" w:rsidP="00025B2F">
      <w:pPr>
        <w:rPr>
          <w:b/>
          <w:bCs/>
          <w:sz w:val="28"/>
          <w:szCs w:val="28"/>
        </w:rPr>
      </w:pPr>
      <w:bookmarkStart w:id="6" w:name="_Toc157441950"/>
      <w:r w:rsidRPr="005047A7">
        <w:rPr>
          <w:b/>
          <w:bCs/>
          <w:sz w:val="28"/>
          <w:szCs w:val="28"/>
        </w:rPr>
        <w:t>RELATED DOCUMENTS</w:t>
      </w:r>
      <w:bookmarkEnd w:id="6"/>
    </w:p>
    <w:p w14:paraId="4F803E90" w14:textId="77777777" w:rsidR="00025B2F" w:rsidRPr="005047A7" w:rsidRDefault="00025B2F" w:rsidP="00025B2F"/>
    <w:p w14:paraId="05ECF0DC" w14:textId="3278A1F3" w:rsidR="00025B2F" w:rsidRPr="005047A7" w:rsidRDefault="00025B2F" w:rsidP="00025B2F">
      <w:pPr>
        <w:pStyle w:val="ListParagraph"/>
        <w:numPr>
          <w:ilvl w:val="1"/>
          <w:numId w:val="2"/>
        </w:numPr>
      </w:pPr>
      <w:r w:rsidRPr="005047A7">
        <w:t>Participant Support Plan</w:t>
      </w:r>
      <w:r w:rsidR="00264C66">
        <w:t xml:space="preserve"> (on </w:t>
      </w:r>
      <w:r w:rsidR="002F4FE9">
        <w:t>Brevity</w:t>
      </w:r>
      <w:r w:rsidR="00264C66">
        <w:t>)</w:t>
      </w:r>
    </w:p>
    <w:p w14:paraId="6DE0D387" w14:textId="7D4C9669" w:rsidR="00025B2F" w:rsidRPr="005047A7" w:rsidRDefault="00025B2F" w:rsidP="00025B2F">
      <w:pPr>
        <w:pStyle w:val="ListParagraph"/>
        <w:numPr>
          <w:ilvl w:val="1"/>
          <w:numId w:val="2"/>
        </w:numPr>
      </w:pPr>
      <w:r w:rsidRPr="005047A7">
        <w:t xml:space="preserve">Individual Risk Assessment </w:t>
      </w:r>
    </w:p>
    <w:p w14:paraId="651FD74E" w14:textId="3056769B" w:rsidR="00025B2F" w:rsidRPr="005047A7" w:rsidRDefault="00025B2F" w:rsidP="00025B2F">
      <w:pPr>
        <w:pStyle w:val="ListParagraph"/>
        <w:numPr>
          <w:ilvl w:val="1"/>
          <w:numId w:val="2"/>
        </w:numPr>
      </w:pPr>
      <w:r w:rsidRPr="005047A7">
        <w:t xml:space="preserve">Participant </w:t>
      </w:r>
      <w:r w:rsidR="00264C66">
        <w:t>Portal</w:t>
      </w:r>
    </w:p>
    <w:p w14:paraId="4E338D87" w14:textId="77777777" w:rsidR="00314E07" w:rsidRDefault="00025B2F" w:rsidP="00E34E00">
      <w:pPr>
        <w:pStyle w:val="ListParagraph"/>
        <w:numPr>
          <w:ilvl w:val="1"/>
          <w:numId w:val="2"/>
        </w:numPr>
      </w:pPr>
      <w:r w:rsidRPr="005047A7">
        <w:t xml:space="preserve">Participant </w:t>
      </w:r>
      <w:r w:rsidR="00314E07">
        <w:t>Service Exit Checklist</w:t>
      </w:r>
    </w:p>
    <w:p w14:paraId="564D8A9A" w14:textId="087174A6" w:rsidR="00314E07" w:rsidRDefault="00314E07" w:rsidP="00E34E00">
      <w:pPr>
        <w:pStyle w:val="ListParagraph"/>
        <w:numPr>
          <w:ilvl w:val="1"/>
          <w:numId w:val="2"/>
        </w:numPr>
      </w:pPr>
      <w:r>
        <w:t>Participant Exit Form (interview questions) and Interview Record (if applicable)</w:t>
      </w:r>
    </w:p>
    <w:p w14:paraId="33D88726" w14:textId="340F9ED8" w:rsidR="002F4FE9" w:rsidRDefault="002F4FE9" w:rsidP="00E34E00">
      <w:pPr>
        <w:pStyle w:val="ListParagraph"/>
        <w:numPr>
          <w:ilvl w:val="1"/>
          <w:numId w:val="2"/>
        </w:numPr>
      </w:pPr>
      <w:r>
        <w:t>Money and Property Register</w:t>
      </w:r>
    </w:p>
    <w:p w14:paraId="58B9B235" w14:textId="77777777" w:rsidR="002F4FE9" w:rsidRPr="00BE7260" w:rsidRDefault="002F4FE9" w:rsidP="002F4FE9">
      <w:pPr>
        <w:numPr>
          <w:ilvl w:val="0"/>
          <w:numId w:val="2"/>
        </w:numPr>
      </w:pPr>
      <w:r w:rsidRPr="00BE7260">
        <w:t xml:space="preserve">Service Agreement </w:t>
      </w:r>
    </w:p>
    <w:p w14:paraId="44DA7F27" w14:textId="49830669" w:rsidR="002F4FE9" w:rsidRDefault="00314E07" w:rsidP="00757B37">
      <w:pPr>
        <w:pStyle w:val="ListParagraph"/>
        <w:numPr>
          <w:ilvl w:val="1"/>
          <w:numId w:val="2"/>
        </w:numPr>
      </w:pPr>
      <w:r>
        <w:t>Feedback Forms and Surveys</w:t>
      </w:r>
    </w:p>
    <w:p w14:paraId="200ECB93" w14:textId="002A961D" w:rsidR="00314E07" w:rsidRDefault="00314E07" w:rsidP="00757B37">
      <w:pPr>
        <w:pStyle w:val="ListParagraph"/>
        <w:numPr>
          <w:ilvl w:val="1"/>
          <w:numId w:val="2"/>
        </w:numPr>
      </w:pPr>
      <w:r>
        <w:t>Transition/Handover Reports (where applicable)</w:t>
      </w:r>
    </w:p>
    <w:p w14:paraId="719F4481" w14:textId="19E33C2A" w:rsidR="00314E07" w:rsidRDefault="00314E07" w:rsidP="00757B37">
      <w:pPr>
        <w:pStyle w:val="ListParagraph"/>
        <w:numPr>
          <w:ilvl w:val="1"/>
          <w:numId w:val="2"/>
        </w:numPr>
      </w:pPr>
      <w:r>
        <w:t xml:space="preserve">Accommodation Manual </w:t>
      </w:r>
    </w:p>
    <w:p w14:paraId="03BBC6EB" w14:textId="152DAD5F" w:rsidR="00F44E34" w:rsidRPr="005047A7" w:rsidRDefault="00F44E34" w:rsidP="00757B37">
      <w:pPr>
        <w:pStyle w:val="ListParagraph"/>
        <w:numPr>
          <w:ilvl w:val="1"/>
          <w:numId w:val="2"/>
        </w:numPr>
      </w:pPr>
      <w:r>
        <w:t>CSM- Brevity</w:t>
      </w:r>
    </w:p>
    <w:p w14:paraId="69C12F2C" w14:textId="77777777" w:rsidR="00025B2F" w:rsidRPr="005047A7" w:rsidRDefault="00025B2F" w:rsidP="00025B2F">
      <w:pPr>
        <w:pStyle w:val="ListParagraph"/>
      </w:pPr>
    </w:p>
    <w:p w14:paraId="333B8B1E" w14:textId="77777777" w:rsidR="00025B2F" w:rsidRPr="005047A7" w:rsidRDefault="00025B2F" w:rsidP="00025B2F">
      <w:pPr>
        <w:rPr>
          <w:b/>
          <w:bCs/>
          <w:sz w:val="28"/>
          <w:szCs w:val="28"/>
        </w:rPr>
      </w:pPr>
      <w:bookmarkStart w:id="7" w:name="_Toc157441951"/>
      <w:r w:rsidRPr="005047A7">
        <w:rPr>
          <w:b/>
          <w:bCs/>
          <w:sz w:val="28"/>
          <w:szCs w:val="28"/>
        </w:rPr>
        <w:t>REFERENCES</w:t>
      </w:r>
      <w:bookmarkEnd w:id="7"/>
    </w:p>
    <w:p w14:paraId="0E54D977" w14:textId="77777777" w:rsidR="00025B2F" w:rsidRPr="005047A7" w:rsidRDefault="00025B2F" w:rsidP="00025B2F"/>
    <w:p w14:paraId="68275C5B" w14:textId="77777777" w:rsidR="00025B2F" w:rsidRPr="005047A7" w:rsidRDefault="00025B2F" w:rsidP="00025B2F">
      <w:pPr>
        <w:pStyle w:val="ListParagraph"/>
        <w:numPr>
          <w:ilvl w:val="1"/>
          <w:numId w:val="2"/>
        </w:numPr>
      </w:pPr>
      <w:r w:rsidRPr="005047A7">
        <w:t>National Disability Insurance Scheme Act 2013 (Cth)</w:t>
      </w:r>
    </w:p>
    <w:p w14:paraId="490EFCC1" w14:textId="77777777" w:rsidR="00025B2F" w:rsidRPr="005047A7" w:rsidRDefault="00025B2F" w:rsidP="00025B2F">
      <w:pPr>
        <w:pStyle w:val="ListParagraph"/>
        <w:numPr>
          <w:ilvl w:val="1"/>
          <w:numId w:val="2"/>
        </w:numPr>
      </w:pPr>
      <w:r w:rsidRPr="005047A7">
        <w:t>NDIS Practice Standards and Quality Indicators – November 2021</w:t>
      </w:r>
    </w:p>
    <w:p w14:paraId="47731D9F" w14:textId="314E8A95" w:rsidR="00BE7260" w:rsidRPr="005047A7" w:rsidRDefault="00025B2F" w:rsidP="00BE7260">
      <w:pPr>
        <w:pStyle w:val="ListParagraph"/>
        <w:numPr>
          <w:ilvl w:val="1"/>
          <w:numId w:val="2"/>
        </w:numPr>
      </w:pPr>
      <w:r w:rsidRPr="005047A7">
        <w:t xml:space="preserve">Practice alert - </w:t>
      </w:r>
      <w:hyperlink r:id="rId7" w:history="1">
        <w:r w:rsidRPr="005047A7">
          <w:rPr>
            <w:rStyle w:val="Hyperlink"/>
          </w:rPr>
          <w:t>Transitions of care between disability services and hospitals</w:t>
        </w:r>
      </w:hyperlink>
    </w:p>
    <w:p w14:paraId="04968854" w14:textId="77777777" w:rsidR="00BE7260" w:rsidRPr="00F44E34" w:rsidRDefault="00BE7260" w:rsidP="00BE7260">
      <w:pPr>
        <w:numPr>
          <w:ilvl w:val="0"/>
          <w:numId w:val="41"/>
        </w:numPr>
      </w:pPr>
      <w:r w:rsidRPr="00BE7260">
        <w:t xml:space="preserve">NDIS Price Guide </w:t>
      </w:r>
      <w:r w:rsidRPr="00BE7260">
        <w:rPr>
          <w:i/>
          <w:iCs/>
        </w:rPr>
        <w:t>(for financial arrangements in SIL agreements)</w:t>
      </w:r>
    </w:p>
    <w:p w14:paraId="36C3928F" w14:textId="05972AD9" w:rsidR="00F44E34" w:rsidRDefault="00F44E34" w:rsidP="00BE7260">
      <w:pPr>
        <w:numPr>
          <w:ilvl w:val="0"/>
          <w:numId w:val="41"/>
        </w:numPr>
      </w:pPr>
      <w:r>
        <w:t>AmeCare Internal Policies and Procedures (e.g. Privacy Policy, Incident Management Policy)</w:t>
      </w:r>
    </w:p>
    <w:p w14:paraId="0562708C" w14:textId="51A45A1A" w:rsidR="00F44E34" w:rsidRPr="00BE7260" w:rsidRDefault="00F44E34" w:rsidP="00BE7260">
      <w:pPr>
        <w:numPr>
          <w:ilvl w:val="0"/>
          <w:numId w:val="41"/>
        </w:numPr>
      </w:pPr>
      <w:r>
        <w:t>NDIS Code of Conduct</w:t>
      </w:r>
    </w:p>
    <w:p w14:paraId="1CF8D47D" w14:textId="77777777" w:rsidR="00025B2F" w:rsidRDefault="00025B2F" w:rsidP="00025B2F">
      <w:pPr>
        <w:rPr>
          <w:b/>
          <w:bCs/>
        </w:rPr>
      </w:pPr>
    </w:p>
    <w:p w14:paraId="25EC9A7C" w14:textId="77777777" w:rsidR="002F4FE9" w:rsidRPr="005047A7" w:rsidRDefault="002F4FE9" w:rsidP="00025B2F"/>
    <w:p w14:paraId="10FC7DD4" w14:textId="77777777" w:rsidR="00025B2F" w:rsidRPr="005047A7" w:rsidRDefault="00025B2F" w:rsidP="00025B2F">
      <w:pPr>
        <w:rPr>
          <w:b/>
          <w:bCs/>
          <w:sz w:val="28"/>
          <w:szCs w:val="28"/>
        </w:rPr>
      </w:pPr>
      <w:r w:rsidRPr="005047A7">
        <w:rPr>
          <w:b/>
          <w:bCs/>
          <w:sz w:val="28"/>
          <w:szCs w:val="28"/>
        </w:rPr>
        <w:t>REVIEW DETAILS</w:t>
      </w:r>
    </w:p>
    <w:p w14:paraId="4173ED41" w14:textId="77777777" w:rsidR="00025B2F" w:rsidRPr="005047A7" w:rsidRDefault="00025B2F" w:rsidP="00025B2F"/>
    <w:tbl>
      <w:tblPr>
        <w:tblStyle w:val="TableGrid"/>
        <w:tblW w:w="5000" w:type="pct"/>
        <w:tblLook w:val="04A0" w:firstRow="1" w:lastRow="0" w:firstColumn="1" w:lastColumn="0" w:noHBand="0" w:noVBand="1"/>
      </w:tblPr>
      <w:tblGrid>
        <w:gridCol w:w="3257"/>
        <w:gridCol w:w="5759"/>
      </w:tblGrid>
      <w:tr w:rsidR="00025B2F" w:rsidRPr="005047A7" w14:paraId="6E4242E5" w14:textId="77777777" w:rsidTr="005461B9">
        <w:trPr>
          <w:trHeight w:val="340"/>
        </w:trPr>
        <w:tc>
          <w:tcPr>
            <w:tcW w:w="1806" w:type="pct"/>
            <w:vAlign w:val="center"/>
          </w:tcPr>
          <w:p w14:paraId="1761BC25" w14:textId="77777777" w:rsidR="00025B2F" w:rsidRPr="005047A7" w:rsidRDefault="00025B2F" w:rsidP="005461B9">
            <w:pPr>
              <w:rPr>
                <w:b/>
                <w:bCs/>
              </w:rPr>
            </w:pPr>
            <w:r w:rsidRPr="005047A7">
              <w:rPr>
                <w:b/>
                <w:bCs/>
              </w:rPr>
              <w:t>Approval Authority:</w:t>
            </w:r>
          </w:p>
        </w:tc>
        <w:tc>
          <w:tcPr>
            <w:tcW w:w="3194" w:type="pct"/>
            <w:vAlign w:val="center"/>
          </w:tcPr>
          <w:p w14:paraId="1B7B8FA4" w14:textId="1A639F46" w:rsidR="00025B2F" w:rsidRPr="005047A7" w:rsidRDefault="00025B2F" w:rsidP="005461B9">
            <w:r w:rsidRPr="005047A7">
              <w:t>Director</w:t>
            </w:r>
            <w:r w:rsidR="0010064C">
              <w:t xml:space="preserve"> – Gina Robinso </w:t>
            </w:r>
          </w:p>
        </w:tc>
      </w:tr>
      <w:tr w:rsidR="00025B2F" w:rsidRPr="005047A7" w14:paraId="418A45E0" w14:textId="77777777" w:rsidTr="005461B9">
        <w:trPr>
          <w:trHeight w:val="340"/>
        </w:trPr>
        <w:tc>
          <w:tcPr>
            <w:tcW w:w="1806" w:type="pct"/>
            <w:vAlign w:val="center"/>
          </w:tcPr>
          <w:p w14:paraId="7F0D2D7E" w14:textId="77777777" w:rsidR="00025B2F" w:rsidRPr="005047A7" w:rsidRDefault="00025B2F" w:rsidP="005461B9">
            <w:pPr>
              <w:rPr>
                <w:b/>
                <w:bCs/>
              </w:rPr>
            </w:pPr>
            <w:r w:rsidRPr="005047A7">
              <w:rPr>
                <w:b/>
                <w:bCs/>
              </w:rPr>
              <w:t>Approval Date:</w:t>
            </w:r>
          </w:p>
        </w:tc>
        <w:tc>
          <w:tcPr>
            <w:tcW w:w="3194" w:type="pct"/>
            <w:vAlign w:val="center"/>
          </w:tcPr>
          <w:p w14:paraId="379746F7" w14:textId="77777777" w:rsidR="00025B2F" w:rsidRPr="005047A7" w:rsidRDefault="00025B2F" w:rsidP="005461B9">
            <w:r w:rsidRPr="005047A7">
              <w:t>12/06/2025</w:t>
            </w:r>
          </w:p>
        </w:tc>
      </w:tr>
      <w:tr w:rsidR="00025B2F" w:rsidRPr="005047A7" w14:paraId="4F98F61E" w14:textId="77777777" w:rsidTr="005461B9">
        <w:trPr>
          <w:trHeight w:val="340"/>
        </w:trPr>
        <w:tc>
          <w:tcPr>
            <w:tcW w:w="1806" w:type="pct"/>
            <w:vAlign w:val="center"/>
          </w:tcPr>
          <w:p w14:paraId="70A77B89" w14:textId="77777777" w:rsidR="00025B2F" w:rsidRPr="005047A7" w:rsidRDefault="00025B2F" w:rsidP="005461B9">
            <w:pPr>
              <w:rPr>
                <w:b/>
                <w:bCs/>
              </w:rPr>
            </w:pPr>
            <w:r w:rsidRPr="005047A7">
              <w:rPr>
                <w:b/>
                <w:bCs/>
              </w:rPr>
              <w:t>Last Update Date:</w:t>
            </w:r>
          </w:p>
        </w:tc>
        <w:tc>
          <w:tcPr>
            <w:tcW w:w="3194" w:type="pct"/>
            <w:vAlign w:val="center"/>
          </w:tcPr>
          <w:p w14:paraId="643B3CD0" w14:textId="04D4F72A" w:rsidR="00025B2F" w:rsidRPr="005047A7" w:rsidRDefault="0010064C" w:rsidP="005461B9">
            <w:r>
              <w:t>23/10/2025</w:t>
            </w:r>
          </w:p>
        </w:tc>
      </w:tr>
      <w:tr w:rsidR="00025B2F" w:rsidRPr="005047A7" w14:paraId="03B84DF9" w14:textId="77777777" w:rsidTr="005461B9">
        <w:trPr>
          <w:trHeight w:val="340"/>
        </w:trPr>
        <w:tc>
          <w:tcPr>
            <w:tcW w:w="1806" w:type="pct"/>
            <w:vAlign w:val="center"/>
          </w:tcPr>
          <w:p w14:paraId="3A26AEB9" w14:textId="77777777" w:rsidR="00025B2F" w:rsidRPr="005047A7" w:rsidRDefault="00025B2F" w:rsidP="005461B9">
            <w:pPr>
              <w:rPr>
                <w:b/>
                <w:bCs/>
              </w:rPr>
            </w:pPr>
            <w:r w:rsidRPr="005047A7">
              <w:rPr>
                <w:b/>
                <w:bCs/>
              </w:rPr>
              <w:t>Next Review Date:</w:t>
            </w:r>
          </w:p>
        </w:tc>
        <w:tc>
          <w:tcPr>
            <w:tcW w:w="3194" w:type="pct"/>
            <w:vAlign w:val="center"/>
          </w:tcPr>
          <w:p w14:paraId="7909B02B" w14:textId="0F2EFFA0" w:rsidR="00025B2F" w:rsidRPr="005047A7" w:rsidRDefault="0010064C" w:rsidP="005461B9">
            <w:pPr>
              <w:rPr>
                <w:b/>
                <w:bCs/>
              </w:rPr>
            </w:pPr>
            <w:r>
              <w:t>23/10/</w:t>
            </w:r>
            <w:r w:rsidR="00025B2F" w:rsidRPr="005047A7">
              <w:t>2026</w:t>
            </w:r>
          </w:p>
        </w:tc>
      </w:tr>
      <w:tr w:rsidR="00025B2F" w14:paraId="6CAACAC4" w14:textId="77777777" w:rsidTr="005461B9">
        <w:trPr>
          <w:trHeight w:val="340"/>
        </w:trPr>
        <w:tc>
          <w:tcPr>
            <w:tcW w:w="1806" w:type="pct"/>
            <w:vAlign w:val="center"/>
          </w:tcPr>
          <w:p w14:paraId="5093EFBF" w14:textId="77777777" w:rsidR="00025B2F" w:rsidRPr="005047A7" w:rsidRDefault="00025B2F" w:rsidP="005461B9">
            <w:pPr>
              <w:rPr>
                <w:b/>
                <w:bCs/>
              </w:rPr>
            </w:pPr>
            <w:r w:rsidRPr="005047A7">
              <w:rPr>
                <w:b/>
                <w:bCs/>
              </w:rPr>
              <w:t>Version Control No.:</w:t>
            </w:r>
          </w:p>
        </w:tc>
        <w:tc>
          <w:tcPr>
            <w:tcW w:w="3194" w:type="pct"/>
            <w:vAlign w:val="center"/>
          </w:tcPr>
          <w:p w14:paraId="56614542" w14:textId="21E9289D" w:rsidR="00025B2F" w:rsidRPr="00E26B24" w:rsidRDefault="00025B2F" w:rsidP="005461B9">
            <w:r w:rsidRPr="005047A7">
              <w:t>v.1.</w:t>
            </w:r>
            <w:r w:rsidR="00C11ED7">
              <w:t>1</w:t>
            </w:r>
          </w:p>
        </w:tc>
      </w:tr>
    </w:tbl>
    <w:p w14:paraId="6F31C094" w14:textId="77777777" w:rsidR="00025B2F" w:rsidRDefault="00025B2F" w:rsidP="00025B2F"/>
    <w:p w14:paraId="62B5E5E0" w14:textId="77777777" w:rsidR="00025B2F" w:rsidRDefault="00025B2F"/>
    <w:sectPr w:rsidR="00025B2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DD14" w14:textId="77777777" w:rsidR="00AB6631" w:rsidRDefault="00AB6631" w:rsidP="00CB2FF6">
      <w:r>
        <w:separator/>
      </w:r>
    </w:p>
  </w:endnote>
  <w:endnote w:type="continuationSeparator" w:id="0">
    <w:p w14:paraId="6F3C549E" w14:textId="77777777" w:rsidR="00AB6631" w:rsidRDefault="00AB6631"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ECC2" w14:textId="77777777" w:rsidR="00CB2FF6" w:rsidRPr="00A356A6" w:rsidRDefault="00036D79" w:rsidP="00A356A6">
    <w:pPr>
      <w:pBdr>
        <w:top w:val="nil"/>
        <w:left w:val="nil"/>
        <w:bottom w:val="nil"/>
        <w:right w:val="nil"/>
        <w:between w:val="nil"/>
      </w:pBdr>
      <w:tabs>
        <w:tab w:val="center" w:pos="4513"/>
        <w:tab w:val="right" w:pos="9026"/>
      </w:tabs>
      <w:rPr>
        <w:color w:val="000000"/>
        <w:sz w:val="16"/>
        <w:szCs w:val="16"/>
      </w:rPr>
    </w:pPr>
    <w:r w:rsidRPr="00036D79">
      <w:rPr>
        <w:color w:val="000000"/>
        <w:sz w:val="16"/>
        <w:szCs w:val="16"/>
      </w:rPr>
      <w:t xml:space="preserve">Transition </w:t>
    </w:r>
    <w:r>
      <w:rPr>
        <w:color w:val="000000"/>
        <w:sz w:val="16"/>
        <w:szCs w:val="16"/>
      </w:rPr>
      <w:t>t</w:t>
    </w:r>
    <w:r w:rsidRPr="00036D79">
      <w:rPr>
        <w:color w:val="000000"/>
        <w:sz w:val="16"/>
        <w:szCs w:val="16"/>
      </w:rPr>
      <w:t xml:space="preserve">o </w:t>
    </w:r>
    <w:r>
      <w:rPr>
        <w:color w:val="000000"/>
        <w:sz w:val="16"/>
        <w:szCs w:val="16"/>
      </w:rPr>
      <w:t>o</w:t>
    </w:r>
    <w:r w:rsidRPr="00036D79">
      <w:rPr>
        <w:color w:val="000000"/>
        <w:sz w:val="16"/>
        <w:szCs w:val="16"/>
      </w:rPr>
      <w:t xml:space="preserve">r From </w:t>
    </w:r>
    <w:r>
      <w:rPr>
        <w:color w:val="000000"/>
        <w:sz w:val="16"/>
        <w:szCs w:val="16"/>
      </w:rPr>
      <w:t>a</w:t>
    </w:r>
    <w:r w:rsidRPr="00036D79">
      <w:rPr>
        <w:color w:val="000000"/>
        <w:sz w:val="16"/>
        <w:szCs w:val="16"/>
      </w:rPr>
      <w:t xml:space="preserve"> Provider Policy </w:t>
    </w:r>
    <w:r>
      <w:rPr>
        <w:color w:val="000000"/>
        <w:sz w:val="16"/>
        <w:szCs w:val="16"/>
      </w:rPr>
      <w:t>a</w:t>
    </w:r>
    <w:r w:rsidRPr="00036D79">
      <w:rPr>
        <w:color w:val="000000"/>
        <w:sz w:val="16"/>
        <w:szCs w:val="16"/>
      </w:rPr>
      <w:t>nd Procedure</w:t>
    </w:r>
    <w:r>
      <w:rPr>
        <w:color w:val="000000"/>
        <w:sz w:val="16"/>
        <w:szCs w:val="16"/>
      </w:rPr>
      <w:t xml:space="preserve"> </w:t>
    </w:r>
    <w:r w:rsidR="00A356A6">
      <w:rPr>
        <w:color w:val="000000"/>
        <w:sz w:val="16"/>
        <w:szCs w:val="16"/>
      </w:rPr>
      <w:t xml:space="preserve">v1.0 </w:t>
    </w:r>
    <w:r w:rsidR="00A356A6">
      <w:rPr>
        <w:color w:val="000000"/>
        <w:sz w:val="16"/>
        <w:szCs w:val="16"/>
      </w:rPr>
      <w:tab/>
    </w:r>
    <w:r>
      <w:rPr>
        <w:color w:val="000000"/>
        <w:sz w:val="16"/>
        <w:szCs w:val="16"/>
      </w:rPr>
      <w:tab/>
    </w:r>
    <w:r w:rsidR="00A356A6">
      <w:rPr>
        <w:color w:val="000000"/>
        <w:sz w:val="16"/>
        <w:szCs w:val="16"/>
      </w:rPr>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7DE4" w14:textId="77777777" w:rsidR="00AB6631" w:rsidRDefault="00AB6631" w:rsidP="00CB2FF6">
      <w:r>
        <w:separator/>
      </w:r>
    </w:p>
  </w:footnote>
  <w:footnote w:type="continuationSeparator" w:id="0">
    <w:p w14:paraId="51DC2EF2" w14:textId="77777777" w:rsidR="00AB6631" w:rsidRDefault="00AB6631"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0BAF" w14:textId="77777777" w:rsidR="00264C66" w:rsidRDefault="00264C66" w:rsidP="00264C66">
    <w:pPr>
      <w:pStyle w:val="Header"/>
      <w:tabs>
        <w:tab w:val="left" w:pos="2047"/>
      </w:tabs>
      <w:jc w:val="both"/>
    </w:pPr>
    <w:r>
      <w:t xml:space="preserve">405 Upper Heidelberg Road, </w:t>
    </w:r>
  </w:p>
  <w:p w14:paraId="5673F688" w14:textId="3E9546B9" w:rsidR="00660595" w:rsidRDefault="00264C66" w:rsidP="00264C66">
    <w:pPr>
      <w:pStyle w:val="Header"/>
      <w:tabs>
        <w:tab w:val="left" w:pos="2047"/>
      </w:tabs>
      <w:jc w:val="both"/>
    </w:pPr>
    <w:r>
      <w:t>Ivanhoe 3079</w:t>
    </w:r>
    <w:r>
      <w:tab/>
    </w:r>
    <w:r>
      <w:tab/>
    </w:r>
    <w:r w:rsidR="00660595">
      <w:rPr>
        <w:noProof/>
      </w:rPr>
      <w:drawing>
        <wp:anchor distT="0" distB="0" distL="114300" distR="114300" simplePos="0" relativeHeight="251658240" behindDoc="0" locked="0" layoutInCell="1" allowOverlap="1" wp14:anchorId="2B72D1F0" wp14:editId="18A3F704">
          <wp:simplePos x="0" y="0"/>
          <wp:positionH relativeFrom="column">
            <wp:posOffset>4498340</wp:posOffset>
          </wp:positionH>
          <wp:positionV relativeFrom="paragraph">
            <wp:posOffset>-261246</wp:posOffset>
          </wp:positionV>
          <wp:extent cx="1536478" cy="636494"/>
          <wp:effectExtent l="0" t="0" r="635" b="0"/>
          <wp:wrapNone/>
          <wp:docPr id="1" name="Picture 1" descr="https://app-dp-private.s3.amazonaws.com/temp/cfb45372-7ef9-4ffd-8862-5de87bf30353.png?AWSAccessKeyId=AKIA3LAUV7E3YX4ESOVH&amp;Signature=wn%2B9A1bbSjQbe%2BsImPxkPHJxyzo%3D&amp;Expires=1749870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29176" b="29398"/>
                  <a:stretch/>
                </pic:blipFill>
                <pic:spPr bwMode="auto">
                  <a:xfrm>
                    <a:off x="0" y="0"/>
                    <a:ext cx="1536478" cy="6364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C5992C" w14:textId="77777777" w:rsidR="00CB2FF6" w:rsidRDefault="00CB2FF6" w:rsidP="00660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441D"/>
    <w:multiLevelType w:val="multilevel"/>
    <w:tmpl w:val="7B4E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E357B"/>
    <w:multiLevelType w:val="multilevel"/>
    <w:tmpl w:val="FDA2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81ECF"/>
    <w:multiLevelType w:val="hybridMultilevel"/>
    <w:tmpl w:val="34E8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86E7D"/>
    <w:multiLevelType w:val="hybridMultilevel"/>
    <w:tmpl w:val="9732F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CF3459"/>
    <w:multiLevelType w:val="hybridMultilevel"/>
    <w:tmpl w:val="F1C6F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03247"/>
    <w:multiLevelType w:val="multilevel"/>
    <w:tmpl w:val="F7F2C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81C16"/>
    <w:multiLevelType w:val="multilevel"/>
    <w:tmpl w:val="5D3640BC"/>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2A787BD3"/>
    <w:multiLevelType w:val="hybridMultilevel"/>
    <w:tmpl w:val="222E8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7B46D7"/>
    <w:multiLevelType w:val="hybridMultilevel"/>
    <w:tmpl w:val="AEB0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37A3D"/>
    <w:multiLevelType w:val="multilevel"/>
    <w:tmpl w:val="849A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20CC8"/>
    <w:multiLevelType w:val="multilevel"/>
    <w:tmpl w:val="F710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12769"/>
    <w:multiLevelType w:val="multilevel"/>
    <w:tmpl w:val="1D26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A4BBD"/>
    <w:multiLevelType w:val="multilevel"/>
    <w:tmpl w:val="C7DC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175B5"/>
    <w:multiLevelType w:val="multilevel"/>
    <w:tmpl w:val="E1F6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F2DD2"/>
    <w:multiLevelType w:val="hybridMultilevel"/>
    <w:tmpl w:val="3C16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A94C7C"/>
    <w:multiLevelType w:val="multilevel"/>
    <w:tmpl w:val="D670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5C0349"/>
    <w:multiLevelType w:val="hybridMultilevel"/>
    <w:tmpl w:val="5A668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54DCD"/>
    <w:multiLevelType w:val="hybridMultilevel"/>
    <w:tmpl w:val="F5D0C7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FF4278"/>
    <w:multiLevelType w:val="hybridMultilevel"/>
    <w:tmpl w:val="7A7C5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9E633EC"/>
    <w:multiLevelType w:val="multilevel"/>
    <w:tmpl w:val="5D96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A65A6"/>
    <w:multiLevelType w:val="hybridMultilevel"/>
    <w:tmpl w:val="D2EC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3514E"/>
    <w:multiLevelType w:val="multilevel"/>
    <w:tmpl w:val="AC38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B8548C"/>
    <w:multiLevelType w:val="multilevel"/>
    <w:tmpl w:val="923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F071D5"/>
    <w:multiLevelType w:val="multilevel"/>
    <w:tmpl w:val="6C78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7F6EDF"/>
    <w:multiLevelType w:val="multilevel"/>
    <w:tmpl w:val="76D0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97609E"/>
    <w:multiLevelType w:val="multilevel"/>
    <w:tmpl w:val="8F3C679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7" w15:restartNumberingAfterBreak="0">
    <w:nsid w:val="5ED27B46"/>
    <w:multiLevelType w:val="multilevel"/>
    <w:tmpl w:val="257EC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F051EE"/>
    <w:multiLevelType w:val="hybridMultilevel"/>
    <w:tmpl w:val="27E02B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2C3C14"/>
    <w:multiLevelType w:val="multilevel"/>
    <w:tmpl w:val="F696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EF743B"/>
    <w:multiLevelType w:val="multilevel"/>
    <w:tmpl w:val="AE04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075A51"/>
    <w:multiLevelType w:val="multilevel"/>
    <w:tmpl w:val="41862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7A2F79"/>
    <w:multiLevelType w:val="multilevel"/>
    <w:tmpl w:val="F968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312BE5"/>
    <w:multiLevelType w:val="multilevel"/>
    <w:tmpl w:val="7280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242D66"/>
    <w:multiLevelType w:val="hybridMultilevel"/>
    <w:tmpl w:val="CAC2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402263"/>
    <w:multiLevelType w:val="multilevel"/>
    <w:tmpl w:val="B0C0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AA20A7"/>
    <w:multiLevelType w:val="hybridMultilevel"/>
    <w:tmpl w:val="A378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D91A8E"/>
    <w:multiLevelType w:val="hybridMultilevel"/>
    <w:tmpl w:val="10AE2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C47143"/>
    <w:multiLevelType w:val="multilevel"/>
    <w:tmpl w:val="E954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326BCE"/>
    <w:multiLevelType w:val="multilevel"/>
    <w:tmpl w:val="1DD4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0B52DC"/>
    <w:multiLevelType w:val="multilevel"/>
    <w:tmpl w:val="0270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195041">
    <w:abstractNumId w:val="14"/>
  </w:num>
  <w:num w:numId="2" w16cid:durableId="456603929">
    <w:abstractNumId w:val="15"/>
  </w:num>
  <w:num w:numId="3" w16cid:durableId="1606381596">
    <w:abstractNumId w:val="36"/>
  </w:num>
  <w:num w:numId="4" w16cid:durableId="598879519">
    <w:abstractNumId w:val="17"/>
  </w:num>
  <w:num w:numId="5" w16cid:durableId="1169255692">
    <w:abstractNumId w:val="34"/>
  </w:num>
  <w:num w:numId="6" w16cid:durableId="1625503206">
    <w:abstractNumId w:val="2"/>
  </w:num>
  <w:num w:numId="7" w16cid:durableId="1375153238">
    <w:abstractNumId w:val="8"/>
  </w:num>
  <w:num w:numId="8" w16cid:durableId="11226612">
    <w:abstractNumId w:val="21"/>
  </w:num>
  <w:num w:numId="9" w16cid:durableId="2038577336">
    <w:abstractNumId w:val="37"/>
  </w:num>
  <w:num w:numId="10" w16cid:durableId="1782141390">
    <w:abstractNumId w:val="19"/>
  </w:num>
  <w:num w:numId="11" w16cid:durableId="1009022014">
    <w:abstractNumId w:val="3"/>
  </w:num>
  <w:num w:numId="12" w16cid:durableId="1644968774">
    <w:abstractNumId w:val="28"/>
  </w:num>
  <w:num w:numId="13" w16cid:durableId="1150101587">
    <w:abstractNumId w:val="7"/>
  </w:num>
  <w:num w:numId="14" w16cid:durableId="1721631468">
    <w:abstractNumId w:val="18"/>
  </w:num>
  <w:num w:numId="15" w16cid:durableId="1433671414">
    <w:abstractNumId w:val="4"/>
  </w:num>
  <w:num w:numId="16" w16cid:durableId="754010782">
    <w:abstractNumId w:val="31"/>
  </w:num>
  <w:num w:numId="17" w16cid:durableId="1078672907">
    <w:abstractNumId w:val="20"/>
  </w:num>
  <w:num w:numId="18" w16cid:durableId="1786192243">
    <w:abstractNumId w:val="27"/>
  </w:num>
  <w:num w:numId="19" w16cid:durableId="799956452">
    <w:abstractNumId w:val="33"/>
  </w:num>
  <w:num w:numId="20" w16cid:durableId="1408378790">
    <w:abstractNumId w:val="10"/>
  </w:num>
  <w:num w:numId="21" w16cid:durableId="1876118397">
    <w:abstractNumId w:val="25"/>
  </w:num>
  <w:num w:numId="22" w16cid:durableId="2114543743">
    <w:abstractNumId w:val="13"/>
  </w:num>
  <w:num w:numId="23" w16cid:durableId="852231340">
    <w:abstractNumId w:val="9"/>
  </w:num>
  <w:num w:numId="24" w16cid:durableId="1996177898">
    <w:abstractNumId w:val="29"/>
  </w:num>
  <w:num w:numId="25" w16cid:durableId="2118672692">
    <w:abstractNumId w:val="38"/>
  </w:num>
  <w:num w:numId="26" w16cid:durableId="644625008">
    <w:abstractNumId w:val="24"/>
  </w:num>
  <w:num w:numId="27" w16cid:durableId="1382441900">
    <w:abstractNumId w:val="16"/>
  </w:num>
  <w:num w:numId="28" w16cid:durableId="1731536630">
    <w:abstractNumId w:val="40"/>
  </w:num>
  <w:num w:numId="29" w16cid:durableId="1471021467">
    <w:abstractNumId w:val="1"/>
  </w:num>
  <w:num w:numId="30" w16cid:durableId="1871869298">
    <w:abstractNumId w:val="11"/>
  </w:num>
  <w:num w:numId="31" w16cid:durableId="1095789054">
    <w:abstractNumId w:val="30"/>
  </w:num>
  <w:num w:numId="32" w16cid:durableId="162934606">
    <w:abstractNumId w:val="39"/>
  </w:num>
  <w:num w:numId="33" w16cid:durableId="1165391993">
    <w:abstractNumId w:val="35"/>
  </w:num>
  <w:num w:numId="34" w16cid:durableId="213859573">
    <w:abstractNumId w:val="0"/>
  </w:num>
  <w:num w:numId="35" w16cid:durableId="417751649">
    <w:abstractNumId w:val="12"/>
  </w:num>
  <w:num w:numId="36" w16cid:durableId="1155293152">
    <w:abstractNumId w:val="32"/>
  </w:num>
  <w:num w:numId="37" w16cid:durableId="193542341">
    <w:abstractNumId w:val="26"/>
  </w:num>
  <w:num w:numId="38" w16cid:durableId="728572468">
    <w:abstractNumId w:val="5"/>
  </w:num>
  <w:num w:numId="39" w16cid:durableId="787702224">
    <w:abstractNumId w:val="6"/>
  </w:num>
  <w:num w:numId="40" w16cid:durableId="249579763">
    <w:abstractNumId w:val="23"/>
  </w:num>
  <w:num w:numId="41" w16cid:durableId="2332483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25B2F"/>
    <w:rsid w:val="000365BC"/>
    <w:rsid w:val="00036D79"/>
    <w:rsid w:val="000E6547"/>
    <w:rsid w:val="0010064C"/>
    <w:rsid w:val="001617D7"/>
    <w:rsid w:val="00167303"/>
    <w:rsid w:val="001759B8"/>
    <w:rsid w:val="001B7FA6"/>
    <w:rsid w:val="001F61C3"/>
    <w:rsid w:val="00230D5E"/>
    <w:rsid w:val="00264C66"/>
    <w:rsid w:val="002A1C76"/>
    <w:rsid w:val="002C33CE"/>
    <w:rsid w:val="002F4FE9"/>
    <w:rsid w:val="00314E07"/>
    <w:rsid w:val="003B0BDA"/>
    <w:rsid w:val="004045F9"/>
    <w:rsid w:val="004368DB"/>
    <w:rsid w:val="004A2DCB"/>
    <w:rsid w:val="005047A7"/>
    <w:rsid w:val="0051213A"/>
    <w:rsid w:val="00526D20"/>
    <w:rsid w:val="00563C24"/>
    <w:rsid w:val="005C2F3F"/>
    <w:rsid w:val="005D2941"/>
    <w:rsid w:val="0063326D"/>
    <w:rsid w:val="00660595"/>
    <w:rsid w:val="00671D7E"/>
    <w:rsid w:val="006B6027"/>
    <w:rsid w:val="006E46EE"/>
    <w:rsid w:val="006F405D"/>
    <w:rsid w:val="00736924"/>
    <w:rsid w:val="00757B37"/>
    <w:rsid w:val="00837276"/>
    <w:rsid w:val="0086377F"/>
    <w:rsid w:val="008E5C4B"/>
    <w:rsid w:val="008F0B1D"/>
    <w:rsid w:val="0092646E"/>
    <w:rsid w:val="00945D98"/>
    <w:rsid w:val="00965E6A"/>
    <w:rsid w:val="009A59F3"/>
    <w:rsid w:val="009E1CB3"/>
    <w:rsid w:val="00A100C6"/>
    <w:rsid w:val="00A13126"/>
    <w:rsid w:val="00A243D6"/>
    <w:rsid w:val="00A356A6"/>
    <w:rsid w:val="00AA3AFD"/>
    <w:rsid w:val="00AB6631"/>
    <w:rsid w:val="00B25E22"/>
    <w:rsid w:val="00B47536"/>
    <w:rsid w:val="00B71F18"/>
    <w:rsid w:val="00BE2550"/>
    <w:rsid w:val="00BE7260"/>
    <w:rsid w:val="00C11ED7"/>
    <w:rsid w:val="00C357C1"/>
    <w:rsid w:val="00C90595"/>
    <w:rsid w:val="00CA5F76"/>
    <w:rsid w:val="00CB2FF6"/>
    <w:rsid w:val="00CF3550"/>
    <w:rsid w:val="00D33CC6"/>
    <w:rsid w:val="00D60A6B"/>
    <w:rsid w:val="00DA0C2B"/>
    <w:rsid w:val="00DF61CA"/>
    <w:rsid w:val="00E35A9B"/>
    <w:rsid w:val="00E86527"/>
    <w:rsid w:val="00EF3014"/>
    <w:rsid w:val="00F24C47"/>
    <w:rsid w:val="00F2680E"/>
    <w:rsid w:val="00F44E34"/>
    <w:rsid w:val="00F61271"/>
    <w:rsid w:val="00F80F35"/>
    <w:rsid w:val="00FE0023"/>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9B33"/>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B2F"/>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025B2F"/>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BE726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025B2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25B2F"/>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25B2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5B2F"/>
    <w:rPr>
      <w:color w:val="0563C1" w:themeColor="hyperlink"/>
      <w:u w:val="single"/>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025B2F"/>
    <w:pPr>
      <w:ind w:left="720"/>
      <w:contextualSpacing/>
    </w:pPr>
    <w:rPr>
      <w:kern w:val="0"/>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025B2F"/>
    <w:rPr>
      <w:kern w:val="0"/>
      <w14:ligatures w14:val="none"/>
    </w:rPr>
  </w:style>
  <w:style w:type="character" w:customStyle="1" w:styleId="Heading3Char">
    <w:name w:val="Heading 3 Char"/>
    <w:basedOn w:val="DefaultParagraphFont"/>
    <w:link w:val="Heading3"/>
    <w:uiPriority w:val="9"/>
    <w:semiHidden/>
    <w:rsid w:val="00BE7260"/>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BE72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6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discommission.gov.au/worker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3042</Words>
  <Characters>19597</Characters>
  <Application>Microsoft Office Word</Application>
  <DocSecurity>0</DocSecurity>
  <Lines>384</Lines>
  <Paragraphs>101</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22538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15</cp:revision>
  <dcterms:created xsi:type="dcterms:W3CDTF">2025-12-04T02:28:00Z</dcterms:created>
  <dcterms:modified xsi:type="dcterms:W3CDTF">2025-12-08T04:32:00Z</dcterms:modified>
  <cp:category>NDIS</cp:category>
</cp:coreProperties>
</file>